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74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13"/>
      </w:tblGrid>
      <w:tr w:rsidR="00110E1E" w:rsidRPr="00635203" w:rsidTr="00110E1E">
        <w:tc>
          <w:tcPr>
            <w:tcW w:w="534" w:type="dxa"/>
          </w:tcPr>
          <w:p w:rsidR="00110E1E" w:rsidRPr="00635203" w:rsidRDefault="00110E1E" w:rsidP="00635203">
            <w:pPr>
              <w:jc w:val="center"/>
              <w:rPr>
                <w:b/>
                <w:sz w:val="24"/>
                <w:szCs w:val="24"/>
                <w:u w:val="single"/>
                <w:lang w:val="es-ES"/>
              </w:rPr>
            </w:pPr>
          </w:p>
        </w:tc>
        <w:tc>
          <w:tcPr>
            <w:tcW w:w="9213" w:type="dxa"/>
          </w:tcPr>
          <w:p w:rsidR="00110E1E" w:rsidRPr="00635203" w:rsidRDefault="00110E1E" w:rsidP="00635203">
            <w:pPr>
              <w:jc w:val="center"/>
              <w:rPr>
                <w:b/>
                <w:sz w:val="24"/>
                <w:szCs w:val="24"/>
                <w:u w:val="single"/>
                <w:lang w:val="es-ES"/>
              </w:rPr>
            </w:pPr>
            <w:r w:rsidRPr="00635203">
              <w:rPr>
                <w:b/>
                <w:sz w:val="24"/>
                <w:szCs w:val="24"/>
                <w:u w:val="single"/>
                <w:lang w:val="es-ES"/>
              </w:rPr>
              <w:t>HITZAURREA/PREÁMBULO</w:t>
            </w:r>
          </w:p>
        </w:tc>
      </w:tr>
      <w:tr w:rsidR="00110E1E" w:rsidRPr="00635203" w:rsidTr="00110E1E">
        <w:tc>
          <w:tcPr>
            <w:tcW w:w="534" w:type="dxa"/>
          </w:tcPr>
          <w:p w:rsidR="00110E1E" w:rsidRPr="00635203" w:rsidRDefault="00110E1E" w:rsidP="00635203">
            <w:pPr>
              <w:jc w:val="center"/>
              <w:rPr>
                <w:sz w:val="24"/>
                <w:szCs w:val="24"/>
                <w:lang w:val="es-ES"/>
              </w:rPr>
            </w:pPr>
          </w:p>
        </w:tc>
        <w:tc>
          <w:tcPr>
            <w:tcW w:w="9213" w:type="dxa"/>
          </w:tcPr>
          <w:p w:rsidR="00110E1E" w:rsidRPr="00635203" w:rsidRDefault="00110E1E" w:rsidP="00635203">
            <w:pPr>
              <w:jc w:val="center"/>
              <w:rPr>
                <w:sz w:val="24"/>
                <w:szCs w:val="24"/>
                <w:lang w:val="es-ES"/>
              </w:rPr>
            </w:pPr>
          </w:p>
        </w:tc>
      </w:tr>
      <w:tr w:rsidR="00110E1E" w:rsidRPr="00635203" w:rsidTr="00110E1E">
        <w:tc>
          <w:tcPr>
            <w:tcW w:w="534" w:type="dxa"/>
          </w:tcPr>
          <w:p w:rsidR="00110E1E" w:rsidRPr="00635203" w:rsidRDefault="00110E1E" w:rsidP="00635203">
            <w:pPr>
              <w:rPr>
                <w:sz w:val="24"/>
                <w:szCs w:val="24"/>
                <w:lang w:val="es-ES"/>
              </w:rPr>
            </w:pPr>
            <w:r w:rsidRPr="00635203">
              <w:rPr>
                <w:sz w:val="24"/>
                <w:szCs w:val="24"/>
                <w:lang w:val="es-ES"/>
              </w:rPr>
              <w:t>1</w:t>
            </w:r>
          </w:p>
        </w:tc>
        <w:tc>
          <w:tcPr>
            <w:tcW w:w="9213" w:type="dxa"/>
          </w:tcPr>
          <w:p w:rsidR="00110E1E" w:rsidRDefault="00110E1E" w:rsidP="00635203">
            <w:pPr>
              <w:rPr>
                <w:b/>
                <w:sz w:val="24"/>
                <w:szCs w:val="24"/>
                <w:lang w:val="es-ES"/>
              </w:rPr>
            </w:pPr>
            <w:r w:rsidRPr="00635203">
              <w:rPr>
                <w:b/>
                <w:sz w:val="24"/>
                <w:szCs w:val="24"/>
                <w:lang w:val="es-ES"/>
              </w:rPr>
              <w:t xml:space="preserve">1.- </w:t>
            </w:r>
            <w:r w:rsidR="00940983">
              <w:rPr>
                <w:b/>
                <w:sz w:val="24"/>
                <w:szCs w:val="24"/>
                <w:lang w:val="es-ES"/>
              </w:rPr>
              <w:t xml:space="preserve"> </w:t>
            </w:r>
            <w:r w:rsidRPr="00635203">
              <w:rPr>
                <w:b/>
                <w:sz w:val="24"/>
                <w:szCs w:val="24"/>
                <w:lang w:val="es-ES"/>
              </w:rPr>
              <w:t>CONTEXTO HISTÓRICO POLÍTICO</w:t>
            </w:r>
            <w:r w:rsidR="00C820A0">
              <w:rPr>
                <w:b/>
                <w:sz w:val="24"/>
                <w:szCs w:val="24"/>
                <w:lang w:val="es-ES"/>
              </w:rPr>
              <w:t>.</w:t>
            </w:r>
          </w:p>
          <w:p w:rsidR="00D048AA" w:rsidRPr="00635203" w:rsidRDefault="00D048AA" w:rsidP="00635203">
            <w:pPr>
              <w:rPr>
                <w:b/>
                <w:sz w:val="24"/>
                <w:szCs w:val="24"/>
                <w:lang w:val="es-ES"/>
              </w:rPr>
            </w:pPr>
          </w:p>
        </w:tc>
      </w:tr>
      <w:tr w:rsidR="00110E1E" w:rsidRPr="00635203" w:rsidTr="00110E1E">
        <w:tc>
          <w:tcPr>
            <w:tcW w:w="534" w:type="dxa"/>
          </w:tcPr>
          <w:p w:rsidR="00110E1E" w:rsidRPr="00635203" w:rsidRDefault="00110E1E" w:rsidP="00635203">
            <w:pPr>
              <w:rPr>
                <w:sz w:val="24"/>
                <w:szCs w:val="24"/>
                <w:lang w:val="es-ES"/>
              </w:rPr>
            </w:pPr>
            <w:r w:rsidRPr="00635203">
              <w:rPr>
                <w:sz w:val="24"/>
                <w:szCs w:val="24"/>
                <w:lang w:val="es-ES"/>
              </w:rPr>
              <w:t>2</w:t>
            </w:r>
          </w:p>
        </w:tc>
        <w:tc>
          <w:tcPr>
            <w:tcW w:w="9213" w:type="dxa"/>
          </w:tcPr>
          <w:p w:rsidR="00110E1E" w:rsidRPr="00635203" w:rsidRDefault="00C820A0" w:rsidP="00635203">
            <w:pPr>
              <w:rPr>
                <w:sz w:val="24"/>
                <w:szCs w:val="24"/>
                <w:lang w:val="es-ES"/>
              </w:rPr>
            </w:pPr>
            <w:r>
              <w:rPr>
                <w:b/>
                <w:sz w:val="24"/>
                <w:szCs w:val="24"/>
                <w:lang w:val="es-ES"/>
              </w:rPr>
              <w:t>1.1. Antecedentes</w:t>
            </w:r>
            <w:r w:rsidR="00110E1E" w:rsidRPr="00635203">
              <w:rPr>
                <w:sz w:val="24"/>
                <w:szCs w:val="24"/>
                <w:lang w:val="es-ES"/>
              </w:rPr>
              <w:t xml:space="preserve"> </w:t>
            </w:r>
          </w:p>
        </w:tc>
      </w:tr>
      <w:tr w:rsidR="00110E1E" w:rsidRPr="00635203" w:rsidTr="00110E1E">
        <w:tc>
          <w:tcPr>
            <w:tcW w:w="534" w:type="dxa"/>
          </w:tcPr>
          <w:p w:rsidR="00110E1E" w:rsidRPr="00635203" w:rsidRDefault="00110E1E" w:rsidP="00635203">
            <w:pPr>
              <w:rPr>
                <w:sz w:val="24"/>
                <w:szCs w:val="24"/>
                <w:lang w:val="es-ES"/>
              </w:rPr>
            </w:pPr>
            <w:r w:rsidRPr="00635203">
              <w:rPr>
                <w:sz w:val="24"/>
                <w:szCs w:val="24"/>
                <w:lang w:val="es-ES"/>
              </w:rPr>
              <w:t>3</w:t>
            </w:r>
          </w:p>
        </w:tc>
        <w:tc>
          <w:tcPr>
            <w:tcW w:w="9213" w:type="dxa"/>
          </w:tcPr>
          <w:p w:rsidR="00110E1E" w:rsidRPr="00635203" w:rsidRDefault="00110E1E" w:rsidP="00635203">
            <w:pPr>
              <w:rPr>
                <w:sz w:val="24"/>
                <w:szCs w:val="24"/>
                <w:lang w:val="es-ES"/>
              </w:rPr>
            </w:pPr>
            <w:r w:rsidRPr="00635203">
              <w:rPr>
                <w:sz w:val="24"/>
                <w:szCs w:val="24"/>
                <w:lang w:val="es-ES"/>
              </w:rPr>
              <w:t>- Articulación en clave foral hasta finales del siglo XIX</w:t>
            </w:r>
            <w:r w:rsidR="00C820A0">
              <w:rPr>
                <w:sz w:val="24"/>
                <w:szCs w:val="24"/>
                <w:lang w:val="es-ES"/>
              </w:rPr>
              <w:t>.</w:t>
            </w:r>
          </w:p>
        </w:tc>
      </w:tr>
      <w:tr w:rsidR="00110E1E" w:rsidRPr="00635203" w:rsidTr="00110E1E">
        <w:tc>
          <w:tcPr>
            <w:tcW w:w="534" w:type="dxa"/>
          </w:tcPr>
          <w:p w:rsidR="00110E1E" w:rsidRPr="00635203" w:rsidRDefault="00110E1E" w:rsidP="00635203">
            <w:pPr>
              <w:rPr>
                <w:sz w:val="24"/>
                <w:szCs w:val="24"/>
                <w:lang w:val="es-ES"/>
              </w:rPr>
            </w:pPr>
            <w:r w:rsidRPr="00635203">
              <w:rPr>
                <w:sz w:val="24"/>
                <w:szCs w:val="24"/>
                <w:lang w:val="es-ES"/>
              </w:rPr>
              <w:t>4</w:t>
            </w:r>
          </w:p>
        </w:tc>
        <w:tc>
          <w:tcPr>
            <w:tcW w:w="9213" w:type="dxa"/>
          </w:tcPr>
          <w:p w:rsidR="00C820A0" w:rsidRPr="00635203" w:rsidRDefault="00C820A0" w:rsidP="00635203">
            <w:pPr>
              <w:rPr>
                <w:sz w:val="24"/>
                <w:szCs w:val="24"/>
                <w:lang w:val="es-ES"/>
              </w:rPr>
            </w:pPr>
            <w:r>
              <w:rPr>
                <w:sz w:val="24"/>
                <w:szCs w:val="24"/>
                <w:lang w:val="es-ES"/>
              </w:rPr>
              <w:t>- Estatuto de 1936.</w:t>
            </w:r>
          </w:p>
        </w:tc>
      </w:tr>
      <w:tr w:rsidR="00110E1E" w:rsidRPr="00635203" w:rsidTr="00110E1E">
        <w:tc>
          <w:tcPr>
            <w:tcW w:w="534" w:type="dxa"/>
          </w:tcPr>
          <w:p w:rsidR="00110E1E" w:rsidRPr="00635203" w:rsidRDefault="00C820A0"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Pr>
                <w:rFonts w:ascii="Calibri" w:eastAsia="Calibri" w:hAnsi="Calibri" w:cs="Calibri"/>
                <w:color w:val="auto"/>
                <w:sz w:val="24"/>
                <w:szCs w:val="24"/>
                <w:bdr w:val="none" w:sz="0" w:space="0" w:color="auto" w:frame="1"/>
                <w:lang w:val="es-ES"/>
              </w:rPr>
              <w:t>5</w:t>
            </w:r>
          </w:p>
        </w:tc>
        <w:tc>
          <w:tcPr>
            <w:tcW w:w="9213" w:type="dxa"/>
          </w:tcPr>
          <w:p w:rsidR="00C820A0" w:rsidRPr="00635203" w:rsidRDefault="00C820A0"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Pr>
                <w:rFonts w:ascii="Calibri" w:eastAsia="Calibri" w:hAnsi="Calibri" w:cs="Calibri"/>
                <w:color w:val="auto"/>
                <w:sz w:val="24"/>
                <w:szCs w:val="24"/>
                <w:bdr w:val="none" w:sz="0" w:space="0" w:color="auto" w:frame="1"/>
                <w:lang w:val="es-ES"/>
              </w:rPr>
              <w:t>-</w:t>
            </w:r>
            <w:r w:rsidR="00110E1E" w:rsidRPr="00635203">
              <w:rPr>
                <w:rFonts w:ascii="Calibri" w:eastAsia="Calibri" w:hAnsi="Calibri" w:cs="Calibri"/>
                <w:color w:val="auto"/>
                <w:sz w:val="24"/>
                <w:szCs w:val="24"/>
                <w:bdr w:val="none" w:sz="0" w:space="0" w:color="auto" w:frame="1"/>
                <w:lang w:val="es-ES"/>
              </w:rPr>
              <w:t xml:space="preserve">Estatuto de </w:t>
            </w:r>
            <w:proofErr w:type="spellStart"/>
            <w:r w:rsidR="00110E1E" w:rsidRPr="00635203">
              <w:rPr>
                <w:rFonts w:ascii="Calibri" w:eastAsia="Calibri" w:hAnsi="Calibri" w:cs="Calibri"/>
                <w:color w:val="auto"/>
                <w:sz w:val="24"/>
                <w:szCs w:val="24"/>
                <w:bdr w:val="none" w:sz="0" w:space="0" w:color="auto" w:frame="1"/>
                <w:lang w:val="es-ES"/>
              </w:rPr>
              <w:t>Gernika</w:t>
            </w:r>
            <w:proofErr w:type="spellEnd"/>
            <w:r w:rsidR="00110E1E" w:rsidRPr="00635203">
              <w:rPr>
                <w:rFonts w:ascii="Calibri" w:eastAsia="Calibri" w:hAnsi="Calibri" w:cs="Calibri"/>
                <w:color w:val="auto"/>
                <w:sz w:val="24"/>
                <w:szCs w:val="24"/>
                <w:bdr w:val="none" w:sz="0" w:space="0" w:color="auto" w:frame="1"/>
                <w:lang w:val="es-ES"/>
              </w:rPr>
              <w:t xml:space="preserve"> de 1979: ha contribuido a la consolidación del Autogobierno vasco, a la institucionalización y a la mejora de la calidad de vida y bienestar de la ciudadanía  y supuso un pacto –no en total libertad, dado el contexto histórico- entre diferentes sensibilidades. No obstante, no es posible soslayar que el Estatuto de Autonomía de la CAPV, aprobado mediante Ley orgánica en 1979, no se ha desarrollado plenamente y su incumplimiento es debido a que los diferentes gobiernos de España han bloqueado el proceso de transferencias durante estos 39 años, a la utilización expansiva de la legislación básica y a la doctrina </w:t>
            </w:r>
            <w:proofErr w:type="spellStart"/>
            <w:r w:rsidR="00110E1E" w:rsidRPr="00635203">
              <w:rPr>
                <w:rFonts w:ascii="Calibri" w:eastAsia="Calibri" w:hAnsi="Calibri" w:cs="Calibri"/>
                <w:color w:val="auto"/>
                <w:sz w:val="24"/>
                <w:szCs w:val="24"/>
                <w:bdr w:val="none" w:sz="0" w:space="0" w:color="auto" w:frame="1"/>
                <w:lang w:val="es-ES"/>
              </w:rPr>
              <w:t>erosionadora</w:t>
            </w:r>
            <w:proofErr w:type="spellEnd"/>
            <w:r w:rsidR="00110E1E" w:rsidRPr="00635203">
              <w:rPr>
                <w:rFonts w:ascii="Calibri" w:eastAsia="Calibri" w:hAnsi="Calibri" w:cs="Calibri"/>
                <w:color w:val="auto"/>
                <w:sz w:val="24"/>
                <w:szCs w:val="24"/>
                <w:bdr w:val="none" w:sz="0" w:space="0" w:color="auto" w:frame="1"/>
                <w:lang w:val="es-ES"/>
              </w:rPr>
              <w:t xml:space="preserve"> del Tribunal Constitucional. El cumplimiento del Estatuto es un derecho y un mandato del conjunto de la ciudadanía de la CAPV, cuyo cumplimiento no debe estar sujeto a otros acuerdos y variables de ninguna índole.</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6</w:t>
            </w:r>
          </w:p>
        </w:tc>
        <w:tc>
          <w:tcPr>
            <w:tcW w:w="9213" w:type="dxa"/>
          </w:tcPr>
          <w:p w:rsidR="00110E1E" w:rsidRPr="00635203" w:rsidRDefault="00110E1E" w:rsidP="00D048AA">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El nuevo estatuto político necesita bases para el reconocimiento del sujeto jurídico-político, una bilateralidad efe</w:t>
            </w:r>
            <w:r w:rsidR="00514A93">
              <w:rPr>
                <w:rFonts w:ascii="Calibri" w:eastAsia="Calibri" w:hAnsi="Calibri" w:cs="Calibri"/>
                <w:color w:val="auto"/>
                <w:sz w:val="24"/>
                <w:szCs w:val="24"/>
                <w:bdr w:val="none" w:sz="0" w:space="0" w:color="auto" w:frame="1"/>
                <w:lang w:val="es-ES"/>
              </w:rPr>
              <w:t>ctiva y el blindaje de nuestro A</w:t>
            </w:r>
            <w:r w:rsidRPr="00635203">
              <w:rPr>
                <w:rFonts w:ascii="Calibri" w:eastAsia="Calibri" w:hAnsi="Calibri" w:cs="Calibri"/>
                <w:color w:val="auto"/>
                <w:sz w:val="24"/>
                <w:szCs w:val="24"/>
                <w:bdr w:val="none" w:sz="0" w:space="0" w:color="auto" w:frame="1"/>
                <w:lang w:val="es-ES"/>
              </w:rPr>
              <w:t>utogobierno.</w:t>
            </w:r>
          </w:p>
        </w:tc>
      </w:tr>
      <w:tr w:rsidR="00110E1E" w:rsidRPr="00635203" w:rsidTr="00110E1E">
        <w:tc>
          <w:tcPr>
            <w:tcW w:w="534" w:type="dxa"/>
          </w:tcPr>
          <w:p w:rsidR="00110E1E" w:rsidRPr="00635203" w:rsidRDefault="00110E1E" w:rsidP="00635203">
            <w:pPr>
              <w:rPr>
                <w:sz w:val="24"/>
                <w:szCs w:val="24"/>
                <w:lang w:val="es-ES"/>
              </w:rPr>
            </w:pPr>
            <w:r w:rsidRPr="00635203">
              <w:rPr>
                <w:sz w:val="24"/>
                <w:szCs w:val="24"/>
                <w:lang w:val="es-ES"/>
              </w:rPr>
              <w:t>7</w:t>
            </w:r>
          </w:p>
        </w:tc>
        <w:tc>
          <w:tcPr>
            <w:tcW w:w="9213" w:type="dxa"/>
          </w:tcPr>
          <w:p w:rsidR="00110E1E" w:rsidRPr="00635203" w:rsidRDefault="00C820A0" w:rsidP="00635203">
            <w:pPr>
              <w:rPr>
                <w:sz w:val="24"/>
                <w:szCs w:val="24"/>
                <w:lang w:val="es-ES"/>
              </w:rPr>
            </w:pPr>
            <w:r>
              <w:rPr>
                <w:b/>
                <w:sz w:val="24"/>
                <w:szCs w:val="24"/>
                <w:lang w:val="es-ES"/>
              </w:rPr>
              <w:t>1.2 Violencia Política</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8</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A lo largo de los últimos cien años la sociedad vasca ha sufrido al menos cuatro experiencias traumáticas marcadas por la violencia: la Guerra Civil, la dictadura franquista, el terrorismo de ETA y los contraterrorismos ilícitos.</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9</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 xml:space="preserve">Siendo diferentes, los cuatro guardan un nexo común: el sufrimiento injustamente padecido y el esfuerzo por construir y defender, aún en las peores circunstancias, una convivencia democrática y una sociedad basada en la defensa de los derechos humanos, </w:t>
            </w:r>
            <w:r w:rsidR="00D048AA">
              <w:rPr>
                <w:rFonts w:ascii="Calibri" w:eastAsia="Calibri" w:hAnsi="Calibri" w:cs="Calibri"/>
                <w:color w:val="auto"/>
                <w:sz w:val="24"/>
                <w:szCs w:val="24"/>
                <w:bdr w:val="none" w:sz="0" w:space="0" w:color="auto" w:frame="1"/>
                <w:lang w:val="es-ES"/>
              </w:rPr>
              <w:t xml:space="preserve">la </w:t>
            </w:r>
            <w:r w:rsidRPr="00635203">
              <w:rPr>
                <w:rFonts w:ascii="Calibri" w:eastAsia="Calibri" w:hAnsi="Calibri" w:cs="Calibri"/>
                <w:color w:val="auto"/>
                <w:sz w:val="24"/>
                <w:szCs w:val="24"/>
                <w:bdr w:val="none" w:sz="0" w:space="0" w:color="auto" w:frame="1"/>
                <w:lang w:val="es-ES"/>
              </w:rPr>
              <w:t xml:space="preserve">paz y </w:t>
            </w:r>
            <w:r w:rsidR="00D048AA">
              <w:rPr>
                <w:rFonts w:ascii="Calibri" w:eastAsia="Calibri" w:hAnsi="Calibri" w:cs="Calibri"/>
                <w:color w:val="auto"/>
                <w:sz w:val="24"/>
                <w:szCs w:val="24"/>
                <w:bdr w:val="none" w:sz="0" w:space="0" w:color="auto" w:frame="1"/>
                <w:lang w:val="es-ES"/>
              </w:rPr>
              <w:t xml:space="preserve">la </w:t>
            </w:r>
            <w:r w:rsidRPr="00635203">
              <w:rPr>
                <w:rFonts w:ascii="Calibri" w:eastAsia="Calibri" w:hAnsi="Calibri" w:cs="Calibri"/>
                <w:color w:val="auto"/>
                <w:sz w:val="24"/>
                <w:szCs w:val="24"/>
                <w:bdr w:val="none" w:sz="0" w:space="0" w:color="auto" w:frame="1"/>
                <w:lang w:val="es-ES"/>
              </w:rPr>
              <w:t>libertad.</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10</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La convivencia del futuro debe estar basada en una radical defensa de los derechos humanos y en la extensión y profundización de una cultura de paz que deslegitime el uso de la violencia como mejor garantía de no repetición.</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11</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 xml:space="preserve">La sociedad vasca tiene un compromiso en favor de la paz y de los derechos humanos como objetivo y base de relación con otras sociedades y pueblos del mundo. Compromiso con la cooperación y con la solidaridad internacional. </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12</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Estos valores son un patrimonio democrático de gran alcance que inspira el presente Estatus Político en tanto que norma básica reguladora de la convivencia y catálogo de derechos y deberes de la ciudadanía vasca y sus poderes públicos.</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p>
        </w:tc>
      </w:tr>
      <w:tr w:rsidR="00110E1E" w:rsidRPr="00635203" w:rsidTr="00110E1E">
        <w:tc>
          <w:tcPr>
            <w:tcW w:w="534" w:type="dxa"/>
          </w:tcPr>
          <w:p w:rsidR="00110E1E" w:rsidRPr="00635203" w:rsidRDefault="00110E1E" w:rsidP="00635203">
            <w:pPr>
              <w:rPr>
                <w:rFonts w:ascii="Calibri" w:hAnsi="Calibri"/>
                <w:sz w:val="24"/>
                <w:szCs w:val="24"/>
                <w:bdr w:val="none" w:sz="0" w:space="0" w:color="auto" w:frame="1"/>
                <w:lang w:val="es-ES"/>
              </w:rPr>
            </w:pPr>
            <w:r w:rsidRPr="00635203">
              <w:rPr>
                <w:rFonts w:ascii="Calibri" w:hAnsi="Calibri"/>
                <w:sz w:val="24"/>
                <w:szCs w:val="24"/>
                <w:bdr w:val="none" w:sz="0" w:space="0" w:color="auto" w:frame="1"/>
                <w:lang w:val="es-ES"/>
              </w:rPr>
              <w:t>13</w:t>
            </w:r>
          </w:p>
        </w:tc>
        <w:tc>
          <w:tcPr>
            <w:tcW w:w="9213" w:type="dxa"/>
          </w:tcPr>
          <w:p w:rsidR="00110E1E" w:rsidRPr="00635203" w:rsidRDefault="00110E1E" w:rsidP="00635203">
            <w:pPr>
              <w:rPr>
                <w:rFonts w:ascii="Calibri" w:eastAsia="Calibri" w:hAnsi="Calibri" w:cs="Calibri"/>
                <w:sz w:val="24"/>
                <w:szCs w:val="24"/>
                <w:lang w:val="es-ES" w:eastAsia="es-ES"/>
              </w:rPr>
            </w:pPr>
            <w:r w:rsidRPr="00635203">
              <w:rPr>
                <w:rFonts w:ascii="Calibri" w:hAnsi="Calibri"/>
                <w:b/>
                <w:sz w:val="24"/>
                <w:szCs w:val="24"/>
                <w:bdr w:val="none" w:sz="0" w:space="0" w:color="auto" w:frame="1"/>
                <w:lang w:val="es-ES"/>
              </w:rPr>
              <w:t xml:space="preserve">2.- </w:t>
            </w:r>
            <w:r w:rsidR="00940983">
              <w:rPr>
                <w:rFonts w:ascii="Calibri" w:hAnsi="Calibri"/>
                <w:b/>
                <w:sz w:val="24"/>
                <w:szCs w:val="24"/>
                <w:bdr w:val="none" w:sz="0" w:space="0" w:color="auto" w:frame="1"/>
                <w:lang w:val="es-ES"/>
              </w:rPr>
              <w:t xml:space="preserve"> </w:t>
            </w:r>
            <w:r w:rsidRPr="00635203">
              <w:rPr>
                <w:rFonts w:ascii="Calibri" w:hAnsi="Calibri"/>
                <w:b/>
                <w:sz w:val="24"/>
                <w:szCs w:val="24"/>
                <w:bdr w:val="none" w:sz="0" w:space="0" w:color="auto" w:frame="1"/>
                <w:lang w:val="es-ES"/>
              </w:rPr>
              <w:t xml:space="preserve">COMUNIDAD POLÍTICA. RECONOCIMIENTO DE SU IDENTIDAD NACIONAL. </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hAnsi="Calibri"/>
                <w:color w:val="auto"/>
                <w:sz w:val="24"/>
                <w:szCs w:val="24"/>
                <w:bdr w:val="none" w:sz="0" w:space="0" w:color="auto" w:frame="1"/>
                <w:lang w:val="es-ES"/>
              </w:rPr>
            </w:pPr>
            <w:r w:rsidRPr="00635203">
              <w:rPr>
                <w:rFonts w:ascii="Calibri" w:hAnsi="Calibri"/>
                <w:color w:val="auto"/>
                <w:sz w:val="24"/>
                <w:szCs w:val="24"/>
                <w:bdr w:val="none" w:sz="0" w:space="0" w:color="auto" w:frame="1"/>
                <w:lang w:val="es-ES"/>
              </w:rPr>
              <w:t>14</w:t>
            </w:r>
          </w:p>
        </w:tc>
        <w:tc>
          <w:tcPr>
            <w:tcW w:w="9213" w:type="dxa"/>
          </w:tcPr>
          <w:p w:rsidR="00110E1E" w:rsidRPr="00635203" w:rsidRDefault="00D048AA" w:rsidP="00635203">
            <w:pPr>
              <w:pStyle w:val="Parrafonumerado"/>
              <w:tabs>
                <w:tab w:val="left" w:pos="0"/>
              </w:tabs>
              <w:spacing w:line="240" w:lineRule="auto"/>
              <w:rPr>
                <w:rFonts w:ascii="Calibri" w:hAnsi="Calibri"/>
                <w:color w:val="auto"/>
                <w:sz w:val="24"/>
                <w:szCs w:val="24"/>
                <w:bdr w:val="none" w:sz="0" w:space="0" w:color="auto" w:frame="1"/>
                <w:lang w:val="es-ES"/>
              </w:rPr>
            </w:pPr>
            <w:r>
              <w:rPr>
                <w:rFonts w:ascii="Calibri" w:hAnsi="Calibri"/>
                <w:color w:val="auto"/>
                <w:sz w:val="24"/>
                <w:szCs w:val="24"/>
                <w:bdr w:val="none" w:sz="0" w:space="0" w:color="auto" w:frame="1"/>
                <w:lang w:val="es-ES"/>
              </w:rPr>
              <w:t xml:space="preserve">El nuevo Estatus Político </w:t>
            </w:r>
            <w:r w:rsidR="00110E1E" w:rsidRPr="00635203">
              <w:rPr>
                <w:rFonts w:ascii="Calibri" w:hAnsi="Calibri"/>
                <w:color w:val="auto"/>
                <w:sz w:val="24"/>
                <w:szCs w:val="24"/>
                <w:bdr w:val="none" w:sz="0" w:space="0" w:color="auto" w:frame="1"/>
                <w:lang w:val="es-ES"/>
              </w:rPr>
              <w:t xml:space="preserve">para Araba, </w:t>
            </w:r>
            <w:proofErr w:type="spellStart"/>
            <w:r w:rsidR="00110E1E" w:rsidRPr="00635203">
              <w:rPr>
                <w:rFonts w:ascii="Calibri" w:hAnsi="Calibri"/>
                <w:color w:val="auto"/>
                <w:sz w:val="24"/>
                <w:szCs w:val="24"/>
                <w:bdr w:val="none" w:sz="0" w:space="0" w:color="auto" w:frame="1"/>
                <w:lang w:val="es-ES"/>
              </w:rPr>
              <w:t>Bizkaia</w:t>
            </w:r>
            <w:proofErr w:type="spellEnd"/>
            <w:r w:rsidR="00110E1E" w:rsidRPr="00635203">
              <w:rPr>
                <w:rFonts w:ascii="Calibri" w:hAnsi="Calibri"/>
                <w:color w:val="auto"/>
                <w:sz w:val="24"/>
                <w:szCs w:val="24"/>
                <w:bdr w:val="none" w:sz="0" w:space="0" w:color="auto" w:frame="1"/>
                <w:lang w:val="es-ES"/>
              </w:rPr>
              <w:t xml:space="preserve"> y Gipuzkoa –como parte integrante de </w:t>
            </w:r>
            <w:proofErr w:type="spellStart"/>
            <w:r w:rsidR="00110E1E" w:rsidRPr="00635203">
              <w:rPr>
                <w:rFonts w:ascii="Calibri" w:hAnsi="Calibri"/>
                <w:color w:val="auto"/>
                <w:sz w:val="24"/>
                <w:szCs w:val="24"/>
                <w:bdr w:val="none" w:sz="0" w:space="0" w:color="auto" w:frame="1"/>
                <w:lang w:val="es-ES"/>
              </w:rPr>
              <w:t>Euskal</w:t>
            </w:r>
            <w:proofErr w:type="spellEnd"/>
            <w:r w:rsidR="00110E1E" w:rsidRPr="00635203">
              <w:rPr>
                <w:rFonts w:ascii="Calibri" w:hAnsi="Calibri"/>
                <w:color w:val="auto"/>
                <w:sz w:val="24"/>
                <w:szCs w:val="24"/>
                <w:bdr w:val="none" w:sz="0" w:space="0" w:color="auto" w:frame="1"/>
                <w:lang w:val="es-ES"/>
              </w:rPr>
              <w:t xml:space="preserve"> </w:t>
            </w:r>
            <w:proofErr w:type="spellStart"/>
            <w:r w:rsidR="00110E1E" w:rsidRPr="00635203">
              <w:rPr>
                <w:rFonts w:ascii="Calibri" w:hAnsi="Calibri"/>
                <w:color w:val="auto"/>
                <w:sz w:val="24"/>
                <w:szCs w:val="24"/>
                <w:bdr w:val="none" w:sz="0" w:space="0" w:color="auto" w:frame="1"/>
                <w:lang w:val="es-ES"/>
              </w:rPr>
              <w:t>Herria</w:t>
            </w:r>
            <w:proofErr w:type="spellEnd"/>
            <w:r w:rsidR="00110E1E" w:rsidRPr="00635203">
              <w:rPr>
                <w:rFonts w:ascii="Calibri" w:hAnsi="Calibri"/>
                <w:color w:val="auto"/>
                <w:sz w:val="24"/>
                <w:szCs w:val="24"/>
                <w:bdr w:val="none" w:sz="0" w:space="0" w:color="auto" w:frame="1"/>
                <w:lang w:val="es-ES"/>
              </w:rPr>
              <w:t xml:space="preserve">- será la expresión jurídico-política de la voluntad democrática de un Pueblo con identidad socio-cultural sostenida a lo largo de la historia; con rasgos políticos propios, su lengua </w:t>
            </w:r>
            <w:r w:rsidR="00C820A0">
              <w:rPr>
                <w:rFonts w:ascii="Calibri" w:hAnsi="Calibri"/>
                <w:color w:val="auto"/>
                <w:sz w:val="24"/>
                <w:szCs w:val="24"/>
                <w:bdr w:val="none" w:sz="0" w:space="0" w:color="auto" w:frame="1"/>
                <w:lang w:val="es-ES"/>
              </w:rPr>
              <w:t>–el euskera- y su cultura propia</w:t>
            </w:r>
            <w:r w:rsidR="00110E1E" w:rsidRPr="00635203">
              <w:rPr>
                <w:rFonts w:ascii="Calibri" w:hAnsi="Calibri"/>
                <w:color w:val="auto"/>
                <w:sz w:val="24"/>
                <w:szCs w:val="24"/>
                <w:bdr w:val="none" w:sz="0" w:space="0" w:color="auto" w:frame="1"/>
                <w:lang w:val="es-ES"/>
              </w:rPr>
              <w:t>s y un  sentido altamente compartido de pertenencia a una misma comunidad política, a una misma nación, y que como expresión de su nacionalidad, depositaria de una tradición y un derecho a gobernarse por sí misma,  ahora reitera su vocación de renovarse, proyectándose en todos los ámbitos de la vida pública para adecuarse a los requerimientos y necesidades de la sociedad vasca en una realidad globalizada e interdependiente.</w:t>
            </w:r>
          </w:p>
        </w:tc>
      </w:tr>
      <w:tr w:rsidR="00110E1E" w:rsidRPr="00635203" w:rsidTr="00110E1E">
        <w:tc>
          <w:tcPr>
            <w:tcW w:w="534" w:type="dxa"/>
          </w:tcPr>
          <w:p w:rsidR="00110E1E" w:rsidRPr="00635203" w:rsidRDefault="00110E1E" w:rsidP="00635203">
            <w:pPr>
              <w:pStyle w:val="Parrafonumerado"/>
              <w:spacing w:line="240" w:lineRule="auto"/>
              <w:rPr>
                <w:rFonts w:ascii="Calibri" w:eastAsia="Calibri" w:hAnsi="Calibri" w:cs="Calibri"/>
                <w:color w:val="auto"/>
                <w:sz w:val="24"/>
                <w:szCs w:val="24"/>
                <w:lang w:val="es-ES"/>
              </w:rPr>
            </w:pPr>
            <w:r w:rsidRPr="00635203">
              <w:rPr>
                <w:rFonts w:ascii="Calibri" w:eastAsia="Calibri" w:hAnsi="Calibri" w:cs="Calibri"/>
                <w:color w:val="auto"/>
                <w:sz w:val="24"/>
                <w:szCs w:val="24"/>
                <w:lang w:val="es-ES"/>
              </w:rPr>
              <w:t>15</w:t>
            </w:r>
          </w:p>
        </w:tc>
        <w:tc>
          <w:tcPr>
            <w:tcW w:w="9213" w:type="dxa"/>
          </w:tcPr>
          <w:p w:rsidR="00110E1E" w:rsidRPr="00635203" w:rsidRDefault="00110E1E" w:rsidP="00635203">
            <w:pPr>
              <w:pStyle w:val="Parrafonumerado"/>
              <w:spacing w:line="240" w:lineRule="auto"/>
              <w:rPr>
                <w:rFonts w:ascii="Calibri" w:eastAsia="Calibri" w:hAnsi="Calibri" w:cs="Calibri"/>
                <w:color w:val="auto"/>
                <w:sz w:val="24"/>
                <w:szCs w:val="24"/>
                <w:lang w:val="es-ES"/>
              </w:rPr>
            </w:pPr>
            <w:r w:rsidRPr="00635203">
              <w:rPr>
                <w:rFonts w:ascii="Calibri" w:eastAsia="Calibri" w:hAnsi="Calibri" w:cs="Calibri"/>
                <w:color w:val="auto"/>
                <w:sz w:val="24"/>
                <w:szCs w:val="24"/>
                <w:lang w:val="es-ES"/>
              </w:rPr>
              <w:t>El Pueblo  Vasco es Nación porque así lo reconoce e identifica una mayoría de su ciudadanía  y porque, además, cumple con todos los parámetros establecidos en el derecho comparado.</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r w:rsidRPr="00635203">
              <w:rPr>
                <w:rFonts w:ascii="Calibri" w:eastAsia="Calibri" w:hAnsi="Calibri" w:cs="Calibri"/>
                <w:color w:val="auto"/>
                <w:sz w:val="24"/>
                <w:szCs w:val="24"/>
                <w:lang w:val="es-ES"/>
              </w:rPr>
              <w:t>16</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proofErr w:type="spellStart"/>
            <w:r w:rsidRPr="00635203">
              <w:rPr>
                <w:rFonts w:ascii="Calibri" w:eastAsia="Calibri" w:hAnsi="Calibri" w:cs="Calibri"/>
                <w:color w:val="auto"/>
                <w:sz w:val="24"/>
                <w:szCs w:val="24"/>
                <w:lang w:val="es-ES"/>
              </w:rPr>
              <w:t>Euskal</w:t>
            </w:r>
            <w:proofErr w:type="spellEnd"/>
            <w:r w:rsidRPr="00635203">
              <w:rPr>
                <w:rFonts w:ascii="Calibri" w:eastAsia="Calibri" w:hAnsi="Calibri" w:cs="Calibri"/>
                <w:color w:val="auto"/>
                <w:sz w:val="24"/>
                <w:szCs w:val="24"/>
                <w:lang w:val="es-ES"/>
              </w:rPr>
              <w:t xml:space="preserve"> </w:t>
            </w:r>
            <w:proofErr w:type="spellStart"/>
            <w:r w:rsidRPr="00635203">
              <w:rPr>
                <w:rFonts w:ascii="Calibri" w:eastAsia="Calibri" w:hAnsi="Calibri" w:cs="Calibri"/>
                <w:color w:val="auto"/>
                <w:sz w:val="24"/>
                <w:szCs w:val="24"/>
                <w:lang w:val="es-ES"/>
              </w:rPr>
              <w:t>Herria</w:t>
            </w:r>
            <w:proofErr w:type="spellEnd"/>
            <w:r w:rsidRPr="00635203">
              <w:rPr>
                <w:rFonts w:ascii="Calibri" w:eastAsia="Calibri" w:hAnsi="Calibri" w:cs="Calibri"/>
                <w:color w:val="auto"/>
                <w:sz w:val="24"/>
                <w:szCs w:val="24"/>
                <w:lang w:val="es-ES"/>
              </w:rPr>
              <w:t xml:space="preserve"> es un pueblo con identidad propia, en el conjunto de los pueblos de Europa, depositario de un patrimonio lingüístico, cultural y jurídico-institucional propio, que ha pervivido a lo largo de la historia,  que está asentado geográficamente sobre siete territorios que en la actualidad se encuentran políticamente articulados en dos Estados europeos -el español y el francés- y tres ámbitos institucionales diferenciados: la Comunidad Autónoma Vasca que comprende los territorios de Araba, </w:t>
            </w:r>
            <w:proofErr w:type="spellStart"/>
            <w:r w:rsidRPr="00635203">
              <w:rPr>
                <w:rFonts w:ascii="Calibri" w:eastAsia="Calibri" w:hAnsi="Calibri" w:cs="Calibri"/>
                <w:color w:val="auto"/>
                <w:sz w:val="24"/>
                <w:szCs w:val="24"/>
                <w:lang w:val="es-ES"/>
              </w:rPr>
              <w:t>Bizkaia</w:t>
            </w:r>
            <w:proofErr w:type="spellEnd"/>
            <w:r w:rsidRPr="00635203">
              <w:rPr>
                <w:rFonts w:ascii="Calibri" w:eastAsia="Calibri" w:hAnsi="Calibri" w:cs="Calibri"/>
                <w:color w:val="auto"/>
                <w:sz w:val="24"/>
                <w:szCs w:val="24"/>
                <w:lang w:val="es-ES"/>
              </w:rPr>
              <w:t xml:space="preserve"> y Gipuzkoa, la Comunidad Foral de Navarra que integra a </w:t>
            </w:r>
            <w:proofErr w:type="spellStart"/>
            <w:r w:rsidRPr="00635203">
              <w:rPr>
                <w:rFonts w:ascii="Calibri" w:eastAsia="Calibri" w:hAnsi="Calibri" w:cs="Calibri"/>
                <w:color w:val="auto"/>
                <w:sz w:val="24"/>
                <w:szCs w:val="24"/>
                <w:lang w:val="es-ES"/>
              </w:rPr>
              <w:t>Nafarroa</w:t>
            </w:r>
            <w:proofErr w:type="spellEnd"/>
            <w:r w:rsidRPr="00635203">
              <w:rPr>
                <w:rFonts w:ascii="Calibri" w:eastAsia="Calibri" w:hAnsi="Calibri" w:cs="Calibri"/>
                <w:color w:val="auto"/>
                <w:sz w:val="24"/>
                <w:szCs w:val="24"/>
                <w:lang w:val="es-ES"/>
              </w:rPr>
              <w:t xml:space="preserve"> y el territorio gestionado por la Mancomunidad de </w:t>
            </w:r>
            <w:proofErr w:type="spellStart"/>
            <w:r w:rsidRPr="00635203">
              <w:rPr>
                <w:rFonts w:ascii="Calibri" w:eastAsia="Calibri" w:hAnsi="Calibri" w:cs="Calibri"/>
                <w:color w:val="auto"/>
                <w:sz w:val="24"/>
                <w:szCs w:val="24"/>
                <w:lang w:val="es-ES"/>
              </w:rPr>
              <w:t>Iparralde</w:t>
            </w:r>
            <w:proofErr w:type="spellEnd"/>
            <w:r w:rsidRPr="00635203">
              <w:rPr>
                <w:rFonts w:ascii="Calibri" w:eastAsia="Calibri" w:hAnsi="Calibri" w:cs="Calibri"/>
                <w:color w:val="auto"/>
                <w:sz w:val="24"/>
                <w:szCs w:val="24"/>
                <w:lang w:val="es-ES"/>
              </w:rPr>
              <w:t xml:space="preserve"> conformado por </w:t>
            </w:r>
            <w:proofErr w:type="spellStart"/>
            <w:r w:rsidRPr="00635203">
              <w:rPr>
                <w:rFonts w:ascii="Calibri" w:eastAsia="Calibri" w:hAnsi="Calibri" w:cs="Calibri"/>
                <w:color w:val="auto"/>
                <w:sz w:val="24"/>
                <w:szCs w:val="24"/>
                <w:lang w:val="es-ES"/>
              </w:rPr>
              <w:t>Lapurdi</w:t>
            </w:r>
            <w:proofErr w:type="spellEnd"/>
            <w:r w:rsidRPr="00635203">
              <w:rPr>
                <w:rFonts w:ascii="Calibri" w:eastAsia="Calibri" w:hAnsi="Calibri" w:cs="Calibri"/>
                <w:color w:val="auto"/>
                <w:sz w:val="24"/>
                <w:szCs w:val="24"/>
                <w:lang w:val="es-ES"/>
              </w:rPr>
              <w:t xml:space="preserve">, </w:t>
            </w:r>
            <w:proofErr w:type="spellStart"/>
            <w:r w:rsidRPr="00635203">
              <w:rPr>
                <w:rFonts w:ascii="Calibri" w:eastAsia="Calibri" w:hAnsi="Calibri" w:cs="Calibri"/>
                <w:color w:val="auto"/>
                <w:sz w:val="24"/>
                <w:szCs w:val="24"/>
                <w:lang w:val="es-ES"/>
              </w:rPr>
              <w:t>Zuberoa</w:t>
            </w:r>
            <w:proofErr w:type="spellEnd"/>
            <w:r w:rsidRPr="00635203">
              <w:rPr>
                <w:rFonts w:ascii="Calibri" w:eastAsia="Calibri" w:hAnsi="Calibri" w:cs="Calibri"/>
                <w:color w:val="auto"/>
                <w:sz w:val="24"/>
                <w:szCs w:val="24"/>
                <w:lang w:val="es-ES"/>
              </w:rPr>
              <w:t xml:space="preserve"> y </w:t>
            </w:r>
            <w:proofErr w:type="spellStart"/>
            <w:r w:rsidRPr="00635203">
              <w:rPr>
                <w:rFonts w:ascii="Calibri" w:eastAsia="Calibri" w:hAnsi="Calibri" w:cs="Calibri"/>
                <w:color w:val="auto"/>
                <w:sz w:val="24"/>
                <w:szCs w:val="24"/>
                <w:lang w:val="es-ES"/>
              </w:rPr>
              <w:t>Baxe</w:t>
            </w:r>
            <w:proofErr w:type="spellEnd"/>
            <w:r w:rsidRPr="00635203">
              <w:rPr>
                <w:rFonts w:ascii="Calibri" w:eastAsia="Calibri" w:hAnsi="Calibri" w:cs="Calibri"/>
                <w:color w:val="auto"/>
                <w:sz w:val="24"/>
                <w:szCs w:val="24"/>
                <w:lang w:val="es-ES"/>
              </w:rPr>
              <w:t xml:space="preserve"> </w:t>
            </w:r>
            <w:proofErr w:type="spellStart"/>
            <w:r w:rsidRPr="00635203">
              <w:rPr>
                <w:rFonts w:ascii="Calibri" w:eastAsia="Calibri" w:hAnsi="Calibri" w:cs="Calibri"/>
                <w:color w:val="auto"/>
                <w:sz w:val="24"/>
                <w:szCs w:val="24"/>
                <w:lang w:val="es-ES"/>
              </w:rPr>
              <w:t>Nafarroa</w:t>
            </w:r>
            <w:proofErr w:type="spellEnd"/>
            <w:r w:rsidRPr="00635203">
              <w:rPr>
                <w:rFonts w:ascii="Calibri" w:eastAsia="Calibri" w:hAnsi="Calibri" w:cs="Calibri"/>
                <w:color w:val="auto"/>
                <w:sz w:val="24"/>
                <w:szCs w:val="24"/>
                <w:lang w:val="es-ES"/>
              </w:rPr>
              <w:t>.</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r w:rsidRPr="00635203">
              <w:rPr>
                <w:rFonts w:ascii="Calibri" w:eastAsia="Calibri" w:hAnsi="Calibri" w:cs="Calibri"/>
                <w:color w:val="auto"/>
                <w:sz w:val="24"/>
                <w:szCs w:val="24"/>
                <w:lang w:val="es-ES"/>
              </w:rPr>
              <w:t>17</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r w:rsidRPr="00635203">
              <w:rPr>
                <w:rFonts w:ascii="Calibri" w:eastAsia="Calibri" w:hAnsi="Calibri" w:cs="Calibri"/>
                <w:color w:val="auto"/>
                <w:sz w:val="24"/>
                <w:szCs w:val="24"/>
                <w:lang w:val="es-ES"/>
              </w:rPr>
              <w:t xml:space="preserve">El nuevo texto articulado contemplará la posibilidad de establecer relaciones con la Comunidad Foral Navarra y con los territorios vascos radicados en el Estado Francés, con quienes comparte idioma, cultura y/o intereses sociales y económicos </w:t>
            </w:r>
            <w:proofErr w:type="spellStart"/>
            <w:r w:rsidRPr="00635203">
              <w:rPr>
                <w:rFonts w:ascii="Calibri" w:eastAsia="Calibri" w:hAnsi="Calibri" w:cs="Calibri"/>
                <w:color w:val="auto"/>
                <w:sz w:val="24"/>
                <w:szCs w:val="24"/>
                <w:lang w:val="es-ES"/>
              </w:rPr>
              <w:t>etc</w:t>
            </w:r>
            <w:proofErr w:type="spellEnd"/>
            <w:r w:rsidRPr="00635203">
              <w:rPr>
                <w:rFonts w:ascii="Calibri" w:eastAsia="Calibri" w:hAnsi="Calibri" w:cs="Calibri"/>
                <w:color w:val="auto"/>
                <w:sz w:val="24"/>
                <w:szCs w:val="24"/>
                <w:lang w:val="es-ES"/>
              </w:rPr>
              <w:t xml:space="preserve">,  siempre desde el máximo respeto a la voluntad de sus instituciones respectivas y atendiendo a la normativa sobre la materia de los distintos territorios y Estados, así como de la Unión Europea.  </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p>
        </w:tc>
      </w:tr>
      <w:tr w:rsidR="00110E1E" w:rsidRPr="00635203" w:rsidTr="00110E1E">
        <w:tc>
          <w:tcPr>
            <w:tcW w:w="534" w:type="dxa"/>
          </w:tcPr>
          <w:p w:rsidR="00110E1E" w:rsidRPr="00635203" w:rsidRDefault="00110E1E" w:rsidP="00635203">
            <w:pPr>
              <w:rPr>
                <w:rFonts w:ascii="Calibri" w:eastAsia="Calibri" w:hAnsi="Calibri" w:cs="Calibri"/>
                <w:sz w:val="24"/>
                <w:szCs w:val="24"/>
                <w:lang w:val="es-ES"/>
              </w:rPr>
            </w:pPr>
          </w:p>
        </w:tc>
        <w:tc>
          <w:tcPr>
            <w:tcW w:w="9213" w:type="dxa"/>
          </w:tcPr>
          <w:p w:rsidR="00110E1E" w:rsidRPr="00635203" w:rsidRDefault="00110E1E" w:rsidP="00635203">
            <w:pPr>
              <w:rPr>
                <w:rFonts w:ascii="Calibri" w:eastAsia="Calibri" w:hAnsi="Calibri" w:cs="Calibri"/>
                <w:sz w:val="24"/>
                <w:szCs w:val="24"/>
                <w:lang w:val="es-ES"/>
              </w:rPr>
            </w:pPr>
          </w:p>
        </w:tc>
      </w:tr>
      <w:tr w:rsidR="00110E1E" w:rsidRPr="00635203" w:rsidTr="00110E1E">
        <w:tc>
          <w:tcPr>
            <w:tcW w:w="534" w:type="dxa"/>
          </w:tcPr>
          <w:p w:rsidR="00110E1E" w:rsidRPr="00635203" w:rsidRDefault="00110E1E" w:rsidP="00635203">
            <w:pPr>
              <w:rPr>
                <w:rFonts w:ascii="Calibri" w:eastAsia="Calibri" w:hAnsi="Calibri" w:cs="Calibri"/>
                <w:sz w:val="24"/>
                <w:szCs w:val="24"/>
                <w:lang w:val="es-ES"/>
              </w:rPr>
            </w:pPr>
          </w:p>
        </w:tc>
        <w:tc>
          <w:tcPr>
            <w:tcW w:w="9213" w:type="dxa"/>
          </w:tcPr>
          <w:p w:rsidR="00110E1E" w:rsidRPr="00635203" w:rsidRDefault="00110E1E" w:rsidP="00635203">
            <w:pPr>
              <w:rPr>
                <w:rFonts w:ascii="Calibri" w:eastAsia="Calibri" w:hAnsi="Calibri" w:cs="Calibri"/>
                <w:sz w:val="24"/>
                <w:szCs w:val="24"/>
                <w:lang w:val="es-ES"/>
              </w:rPr>
            </w:pPr>
          </w:p>
        </w:tc>
      </w:tr>
      <w:tr w:rsidR="00110E1E" w:rsidRPr="00635203" w:rsidTr="00110E1E">
        <w:tc>
          <w:tcPr>
            <w:tcW w:w="534" w:type="dxa"/>
          </w:tcPr>
          <w:p w:rsidR="00110E1E" w:rsidRPr="00635203" w:rsidRDefault="00110E1E" w:rsidP="00635203">
            <w:pPr>
              <w:rPr>
                <w:rFonts w:ascii="Calibri" w:eastAsia="Calibri" w:hAnsi="Calibri" w:cs="Calibri"/>
                <w:sz w:val="24"/>
                <w:szCs w:val="24"/>
                <w:lang w:val="es-ES"/>
              </w:rPr>
            </w:pPr>
          </w:p>
        </w:tc>
        <w:tc>
          <w:tcPr>
            <w:tcW w:w="9213" w:type="dxa"/>
          </w:tcPr>
          <w:p w:rsidR="00110E1E" w:rsidRPr="00635203" w:rsidRDefault="00110E1E" w:rsidP="00635203">
            <w:pPr>
              <w:rPr>
                <w:rFonts w:ascii="Calibri" w:eastAsia="Calibri" w:hAnsi="Calibri" w:cs="Calibri"/>
                <w:sz w:val="24"/>
                <w:szCs w:val="24"/>
                <w:lang w:val="es-ES"/>
              </w:rPr>
            </w:pPr>
          </w:p>
        </w:tc>
      </w:tr>
      <w:tr w:rsidR="00110E1E" w:rsidRPr="00635203" w:rsidTr="00110E1E">
        <w:tc>
          <w:tcPr>
            <w:tcW w:w="534" w:type="dxa"/>
          </w:tcPr>
          <w:p w:rsidR="00110E1E" w:rsidRPr="00635203" w:rsidRDefault="00110E1E" w:rsidP="00635203">
            <w:pPr>
              <w:rPr>
                <w:rFonts w:ascii="Calibri" w:eastAsia="Calibri" w:hAnsi="Calibri" w:cs="Calibri"/>
                <w:sz w:val="24"/>
                <w:szCs w:val="24"/>
                <w:lang w:val="es-ES"/>
              </w:rPr>
            </w:pPr>
          </w:p>
        </w:tc>
        <w:tc>
          <w:tcPr>
            <w:tcW w:w="9213" w:type="dxa"/>
          </w:tcPr>
          <w:p w:rsidR="00110E1E" w:rsidRPr="00635203" w:rsidRDefault="00110E1E" w:rsidP="00635203">
            <w:pPr>
              <w:rPr>
                <w:rFonts w:ascii="Calibri" w:eastAsia="Calibri" w:hAnsi="Calibri" w:cs="Calibri"/>
                <w:sz w:val="24"/>
                <w:szCs w:val="24"/>
                <w:lang w:val="es-ES"/>
              </w:rPr>
            </w:pPr>
          </w:p>
        </w:tc>
      </w:tr>
      <w:tr w:rsidR="00110E1E" w:rsidRPr="00635203" w:rsidTr="00110E1E">
        <w:tc>
          <w:tcPr>
            <w:tcW w:w="534" w:type="dxa"/>
          </w:tcPr>
          <w:p w:rsidR="00110E1E" w:rsidRPr="00635203" w:rsidRDefault="00110E1E" w:rsidP="00635203">
            <w:pPr>
              <w:rPr>
                <w:rFonts w:ascii="Calibri" w:eastAsia="Calibri" w:hAnsi="Calibri" w:cs="Calibri"/>
                <w:sz w:val="24"/>
                <w:szCs w:val="24"/>
                <w:lang w:val="es-ES"/>
              </w:rPr>
            </w:pPr>
          </w:p>
        </w:tc>
        <w:tc>
          <w:tcPr>
            <w:tcW w:w="9213" w:type="dxa"/>
          </w:tcPr>
          <w:p w:rsidR="00110E1E" w:rsidRPr="00635203" w:rsidRDefault="00110E1E" w:rsidP="00635203">
            <w:pPr>
              <w:rPr>
                <w:rFonts w:ascii="Calibri" w:eastAsia="Calibri" w:hAnsi="Calibri" w:cs="Calibri"/>
                <w:sz w:val="24"/>
                <w:szCs w:val="24"/>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18</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r w:rsidRPr="00635203">
              <w:rPr>
                <w:rFonts w:ascii="Calibri" w:eastAsia="Calibri" w:hAnsi="Calibri" w:cs="Calibri"/>
                <w:b/>
                <w:color w:val="auto"/>
                <w:sz w:val="24"/>
                <w:szCs w:val="24"/>
                <w:bdr w:val="none" w:sz="0" w:space="0" w:color="auto" w:frame="1"/>
                <w:lang w:val="es-ES"/>
              </w:rPr>
              <w:t>3.- N</w:t>
            </w:r>
            <w:r w:rsidR="00D048AA">
              <w:rPr>
                <w:rFonts w:ascii="Calibri" w:eastAsia="Calibri" w:hAnsi="Calibri" w:cs="Calibri"/>
                <w:b/>
                <w:color w:val="auto"/>
                <w:sz w:val="24"/>
                <w:szCs w:val="24"/>
                <w:bdr w:val="none" w:sz="0" w:space="0" w:color="auto" w:frame="1"/>
                <w:lang w:val="es-ES"/>
              </w:rPr>
              <w:t>UEVO ESTATUS POLÍTICO. RENOVACIÓ</w:t>
            </w:r>
            <w:r w:rsidRPr="00635203">
              <w:rPr>
                <w:rFonts w:ascii="Calibri" w:eastAsia="Calibri" w:hAnsi="Calibri" w:cs="Calibri"/>
                <w:b/>
                <w:color w:val="auto"/>
                <w:sz w:val="24"/>
                <w:szCs w:val="24"/>
                <w:bdr w:val="none" w:sz="0" w:space="0" w:color="auto" w:frame="1"/>
                <w:lang w:val="es-ES"/>
              </w:rPr>
              <w:t>N DEL PACTO SOCIAL. AMPLIACIÓN DE LOS DERECHOS Y DEBERES DE LA CIUDADANÍA VASCA.</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19</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La sociedad vasca se enfrenta a retos presentes y futuros en un mundo globalizado a los que necesita dar respuesta para asegurar su cohesión interna. La sociedad vasca desde el reconocimiento de los derechos sociales de segunda y tercera generación está en condiciones materiales y simbólicas de</w:t>
            </w:r>
            <w:r w:rsidR="00514A93">
              <w:rPr>
                <w:rFonts w:ascii="Calibri" w:eastAsia="Calibri" w:hAnsi="Calibri" w:cs="Calibri"/>
                <w:color w:val="auto"/>
                <w:sz w:val="24"/>
                <w:szCs w:val="24"/>
                <w:bdr w:val="none" w:sz="0" w:space="0" w:color="auto" w:frame="1"/>
                <w:lang w:val="es-ES"/>
              </w:rPr>
              <w:t xml:space="preserve"> refundar su pacto social y su A</w:t>
            </w:r>
            <w:r w:rsidRPr="00635203">
              <w:rPr>
                <w:rFonts w:ascii="Calibri" w:eastAsia="Calibri" w:hAnsi="Calibri" w:cs="Calibri"/>
                <w:color w:val="auto"/>
                <w:sz w:val="24"/>
                <w:szCs w:val="24"/>
                <w:bdr w:val="none" w:sz="0" w:space="0" w:color="auto" w:frame="1"/>
                <w:lang w:val="es-ES"/>
              </w:rPr>
              <w:t>utogobierno, en un sentido de avance social y democrático.</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20</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Por ello, pese a la incertidumbre del contexto, se pone como meta seguir creando oportunidades y prosperidad de forma sostenible en el presente y para futuras generaciones, mediante la cooperación entre las personas y el respeto al medio ambiente.</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21</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La sociedad vasca asume como principio que no hay prosperidad sostenible ni aceptable si no es sobre la base de la igualdad de oportunidades y la justicia social, y que estos deben objetivarse en el reconocimiento formal de los derechos sociales, económicos y culturales.</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22</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Planteamos un nuevo acuerdo político para vivir y convivir mejor, que nos permita avanzar en la construcción de una sociedad vasca moderna, plural, igualitaria, cohesionada, formada por mujeres y hombres libres  que viven, conviven y deciden en igualdad, responsable de su futuro, comprometida con los derechos y deberes fundamentales, que nos posibilite desenvolvernos en el mundo y en la Europa del siglo XXI.</w:t>
            </w:r>
          </w:p>
        </w:tc>
      </w:tr>
    </w:tbl>
    <w:p w:rsidR="00110E1E" w:rsidRPr="00635203" w:rsidRDefault="00110E1E" w:rsidP="00635203">
      <w:pPr>
        <w:spacing w:line="240" w:lineRule="auto"/>
        <w:rPr>
          <w:lang w:val="es-ES"/>
        </w:rPr>
      </w:pPr>
      <w:r w:rsidRPr="00635203">
        <w:rPr>
          <w:lang w:val="es-ES"/>
        </w:rPr>
        <w:br w:type="page"/>
      </w:r>
    </w:p>
    <w:tbl>
      <w:tblPr>
        <w:tblStyle w:val="Tablaconcuadrcula"/>
        <w:tblW w:w="974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13"/>
      </w:tblGrid>
      <w:tr w:rsidR="00110E1E" w:rsidRPr="00635203" w:rsidTr="00110E1E">
        <w:tc>
          <w:tcPr>
            <w:tcW w:w="534" w:type="dxa"/>
          </w:tcPr>
          <w:p w:rsidR="00110E1E" w:rsidRPr="00635203" w:rsidRDefault="00110E1E" w:rsidP="00635203">
            <w:pPr>
              <w:rPr>
                <w:rFonts w:ascii="Calibri" w:eastAsia="Calibri" w:hAnsi="Calibri" w:cs="Calibri"/>
                <w:sz w:val="24"/>
                <w:szCs w:val="24"/>
                <w:bdr w:val="none" w:sz="0" w:space="0" w:color="auto" w:frame="1"/>
                <w:lang w:val="es-ES" w:eastAsia="es-ES"/>
              </w:rPr>
            </w:pPr>
          </w:p>
        </w:tc>
        <w:tc>
          <w:tcPr>
            <w:tcW w:w="9213" w:type="dxa"/>
          </w:tcPr>
          <w:p w:rsidR="00110E1E" w:rsidRPr="00635203" w:rsidRDefault="00110E1E" w:rsidP="00635203">
            <w:pPr>
              <w:rPr>
                <w:rFonts w:ascii="Calibri" w:eastAsia="Calibri" w:hAnsi="Calibri" w:cs="Calibri"/>
                <w:sz w:val="24"/>
                <w:szCs w:val="24"/>
                <w:bdr w:val="none" w:sz="0" w:space="0" w:color="auto" w:frame="1"/>
                <w:lang w:val="es-ES" w:eastAsia="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23</w:t>
            </w:r>
          </w:p>
        </w:tc>
        <w:tc>
          <w:tcPr>
            <w:tcW w:w="9213" w:type="dxa"/>
          </w:tcPr>
          <w:p w:rsidR="00110E1E" w:rsidRPr="00635203" w:rsidRDefault="00C820A0"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Pr>
                <w:rFonts w:ascii="Calibri" w:eastAsia="Calibri" w:hAnsi="Calibri" w:cs="Calibri"/>
                <w:b/>
                <w:color w:val="auto"/>
                <w:sz w:val="24"/>
                <w:szCs w:val="24"/>
                <w:bdr w:val="none" w:sz="0" w:space="0" w:color="auto" w:frame="1"/>
                <w:lang w:val="es-ES"/>
              </w:rPr>
              <w:t xml:space="preserve">4.- </w:t>
            </w:r>
            <w:r w:rsidR="00110E1E" w:rsidRPr="00635203">
              <w:rPr>
                <w:rFonts w:ascii="Calibri" w:eastAsia="Calibri" w:hAnsi="Calibri" w:cs="Calibri"/>
                <w:b/>
                <w:color w:val="auto"/>
                <w:sz w:val="24"/>
                <w:szCs w:val="24"/>
                <w:bdr w:val="none" w:sz="0" w:space="0" w:color="auto" w:frame="1"/>
                <w:lang w:val="es-ES"/>
              </w:rPr>
              <w:t>NUEVO ESTATUS POLÍTICO COMO PACTO POR LA IGUALDAD REAL Y EFECTIVA DE MUJERES Y HOMBRES</w:t>
            </w:r>
            <w:r w:rsidR="00940983">
              <w:rPr>
                <w:rFonts w:ascii="Calibri" w:eastAsia="Calibri" w:hAnsi="Calibri" w:cs="Calibri"/>
                <w:b/>
                <w:color w:val="auto"/>
                <w:sz w:val="24"/>
                <w:szCs w:val="24"/>
                <w:bdr w:val="none" w:sz="0" w:space="0" w:color="auto" w:frame="1"/>
                <w:lang w:val="es-ES"/>
              </w:rPr>
              <w:t>.</w:t>
            </w:r>
            <w:r w:rsidR="00110E1E" w:rsidRPr="00635203">
              <w:rPr>
                <w:rFonts w:ascii="Calibri" w:eastAsia="Calibri" w:hAnsi="Calibri" w:cs="Calibri"/>
                <w:b/>
                <w:color w:val="auto"/>
                <w:sz w:val="24"/>
                <w:szCs w:val="24"/>
                <w:bdr w:val="none" w:sz="0" w:space="0" w:color="auto" w:frame="1"/>
                <w:lang w:val="es-ES"/>
              </w:rPr>
              <w:t xml:space="preserve"> </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24</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La igualdad es un derecho humano que cualquier sociedad denominada democrática debe respetar e impulsar. La igualdad permite que tanto mujeres como hombres puedan desarrollar todas sus capacidades y tomar sus decisiones sin limitaciones impuestas por estereotipos de género. Conlleva más respeto, más conocimiento, más bienestar y más democracia.</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25</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La sociedad vasca no es ajena y es consciente de la existencia de diferencias estructurales entre mujeres y hombres en el acceso a oportunidades o en el ejercicio de derechos o libertades por razones culturales, históricas, tradicionales, económicas y sociales. La  desigualdad de género representa uno de los principales retos sociales constituyendo la violencia contra las mujeres su máxima y más brutal expresión. Debemos volcar todos los esfuerzos posibles en poner fin a esta vulneración.</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26</w:t>
            </w:r>
          </w:p>
        </w:tc>
        <w:tc>
          <w:tcPr>
            <w:tcW w:w="9213" w:type="dxa"/>
          </w:tcPr>
          <w:p w:rsidR="00110E1E" w:rsidRPr="00635203" w:rsidRDefault="00110E1E" w:rsidP="00D048AA">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t>La sociedad vasca asume el compromis</w:t>
            </w:r>
            <w:r w:rsidR="00B73A6E">
              <w:rPr>
                <w:rFonts w:ascii="Calibri" w:eastAsia="Calibri" w:hAnsi="Calibri" w:cs="Calibri"/>
                <w:color w:val="auto"/>
                <w:sz w:val="24"/>
                <w:szCs w:val="24"/>
                <w:bdr w:val="none" w:sz="0" w:space="0" w:color="auto" w:frame="1"/>
                <w:lang w:val="es-ES"/>
              </w:rPr>
              <w:t>o de</w:t>
            </w:r>
            <w:r w:rsidRPr="00635203">
              <w:rPr>
                <w:rFonts w:ascii="Calibri" w:eastAsia="Calibri" w:hAnsi="Calibri" w:cs="Calibri"/>
                <w:color w:val="auto"/>
                <w:sz w:val="24"/>
                <w:szCs w:val="24"/>
                <w:bdr w:val="none" w:sz="0" w:space="0" w:color="auto" w:frame="1"/>
                <w:lang w:val="es-ES"/>
              </w:rPr>
              <w:t xml:space="preserve"> hacer real y efectiva la igualdad entre mujeres y hombres en todos los órdenes de la vida como pilar fundamental del desarrollo sostenible y conseguir una socied</w:t>
            </w:r>
            <w:r w:rsidR="00D048AA">
              <w:rPr>
                <w:rFonts w:ascii="Calibri" w:eastAsia="Calibri" w:hAnsi="Calibri" w:cs="Calibri"/>
                <w:color w:val="auto"/>
                <w:sz w:val="24"/>
                <w:szCs w:val="24"/>
                <w:bdr w:val="none" w:sz="0" w:space="0" w:color="auto" w:frame="1"/>
                <w:lang w:val="es-ES"/>
              </w:rPr>
              <w:t>ad más avanzada y más justa que logre</w:t>
            </w:r>
            <w:r w:rsidR="00FD7EF1">
              <w:rPr>
                <w:rFonts w:ascii="Calibri" w:eastAsia="Calibri" w:hAnsi="Calibri" w:cs="Calibri"/>
                <w:color w:val="auto"/>
                <w:sz w:val="24"/>
                <w:szCs w:val="24"/>
                <w:bdr w:val="none" w:sz="0" w:space="0" w:color="auto" w:frame="1"/>
                <w:lang w:val="es-ES"/>
              </w:rPr>
              <w:t xml:space="preserve"> </w:t>
            </w:r>
            <w:r w:rsidRPr="00635203">
              <w:rPr>
                <w:rFonts w:ascii="Calibri" w:eastAsia="Calibri" w:hAnsi="Calibri" w:cs="Calibri"/>
                <w:color w:val="auto"/>
                <w:sz w:val="24"/>
                <w:szCs w:val="24"/>
                <w:bdr w:val="none" w:sz="0" w:space="0" w:color="auto" w:frame="1"/>
                <w:lang w:val="es-ES"/>
              </w:rPr>
              <w:t>erradicar toda forma de violencia contra las mujeres.</w:t>
            </w: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r>
      <w:tr w:rsidR="00110E1E" w:rsidRPr="00635203" w:rsidTr="00110E1E">
        <w:tc>
          <w:tcPr>
            <w:tcW w:w="534"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p>
        </w:tc>
      </w:tr>
    </w:tbl>
    <w:p w:rsidR="00110E1E" w:rsidRPr="00635203" w:rsidRDefault="00110E1E" w:rsidP="00635203">
      <w:pPr>
        <w:spacing w:line="240" w:lineRule="auto"/>
        <w:rPr>
          <w:lang w:val="es-ES"/>
        </w:rPr>
      </w:pPr>
      <w:r w:rsidRPr="00635203">
        <w:rPr>
          <w:lang w:val="es-ES"/>
        </w:rPr>
        <w:br w:type="page"/>
      </w:r>
    </w:p>
    <w:tbl>
      <w:tblPr>
        <w:tblStyle w:val="Tablaconcuadrcula"/>
        <w:tblW w:w="974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13"/>
      </w:tblGrid>
      <w:tr w:rsidR="00110E1E" w:rsidRPr="00635203" w:rsidTr="00110E1E">
        <w:tc>
          <w:tcPr>
            <w:tcW w:w="534" w:type="dxa"/>
          </w:tcPr>
          <w:p w:rsidR="00110E1E" w:rsidRPr="00635203" w:rsidRDefault="00110E1E" w:rsidP="00635203">
            <w:pPr>
              <w:jc w:val="both"/>
              <w:rPr>
                <w:rFonts w:ascii="Calibri" w:eastAsia="Calibri" w:hAnsi="Calibri" w:cs="Calibri"/>
                <w:sz w:val="24"/>
                <w:szCs w:val="24"/>
                <w:bdr w:val="none" w:sz="0" w:space="0" w:color="auto" w:frame="1"/>
                <w:lang w:val="es-ES"/>
              </w:rPr>
            </w:pPr>
            <w:r w:rsidRPr="00635203">
              <w:rPr>
                <w:rFonts w:ascii="Calibri" w:eastAsia="Calibri" w:hAnsi="Calibri" w:cs="Calibri"/>
                <w:sz w:val="24"/>
                <w:szCs w:val="24"/>
                <w:bdr w:val="none" w:sz="0" w:space="0" w:color="auto" w:frame="1"/>
                <w:lang w:val="es-ES"/>
              </w:rPr>
              <w:lastRenderedPageBreak/>
              <w:t>27</w:t>
            </w:r>
          </w:p>
        </w:tc>
        <w:tc>
          <w:tcPr>
            <w:tcW w:w="9213" w:type="dxa"/>
          </w:tcPr>
          <w:p w:rsidR="00110E1E" w:rsidRPr="00635203" w:rsidRDefault="00110E1E" w:rsidP="00635203">
            <w:pPr>
              <w:jc w:val="both"/>
              <w:rPr>
                <w:rFonts w:ascii="Calibri" w:eastAsia="Calibri" w:hAnsi="Calibri" w:cs="Calibri"/>
                <w:sz w:val="16"/>
                <w:szCs w:val="16"/>
                <w:bdr w:val="none" w:sz="0" w:space="0" w:color="auto" w:frame="1"/>
                <w:lang w:val="es-ES"/>
              </w:rPr>
            </w:pPr>
            <w:r w:rsidRPr="00635203">
              <w:rPr>
                <w:rFonts w:ascii="Calibri" w:eastAsia="Calibri" w:hAnsi="Calibri" w:cs="Calibri"/>
                <w:b/>
                <w:sz w:val="24"/>
                <w:szCs w:val="24"/>
                <w:bdr w:val="none" w:sz="0" w:space="0" w:color="auto" w:frame="1"/>
                <w:lang w:val="es-ES"/>
              </w:rPr>
              <w:t xml:space="preserve">5.- </w:t>
            </w:r>
            <w:r w:rsidR="00940983">
              <w:rPr>
                <w:rFonts w:ascii="Calibri" w:eastAsia="Calibri" w:hAnsi="Calibri" w:cs="Calibri"/>
                <w:b/>
                <w:sz w:val="24"/>
                <w:szCs w:val="24"/>
                <w:bdr w:val="none" w:sz="0" w:space="0" w:color="auto" w:frame="1"/>
                <w:lang w:val="es-ES"/>
              </w:rPr>
              <w:t xml:space="preserve"> </w:t>
            </w:r>
            <w:r w:rsidRPr="00635203">
              <w:rPr>
                <w:rFonts w:ascii="Calibri" w:eastAsia="Calibri" w:hAnsi="Calibri" w:cs="Calibri"/>
                <w:b/>
                <w:sz w:val="24"/>
                <w:szCs w:val="24"/>
                <w:bdr w:val="none" w:sz="0" w:space="0" w:color="auto" w:frame="1"/>
                <w:lang w:val="es-ES"/>
              </w:rPr>
              <w:t>PRINCIPIO DE LEGALIDAD. PRINCIPIO DEMOCRÁTICO. DERECHO A DECIDIR</w:t>
            </w:r>
            <w:r w:rsidRPr="00635203">
              <w:rPr>
                <w:rFonts w:ascii="Calibri" w:eastAsia="Calibri" w:hAnsi="Calibri" w:cs="Calibri"/>
                <w:sz w:val="24"/>
                <w:szCs w:val="24"/>
                <w:bdr w:val="none" w:sz="0" w:space="0" w:color="auto" w:frame="1"/>
                <w:lang w:val="es-ES"/>
              </w:rPr>
              <w:t>.</w:t>
            </w:r>
          </w:p>
        </w:tc>
      </w:tr>
      <w:tr w:rsidR="00110E1E" w:rsidRPr="00635203" w:rsidTr="00110E1E">
        <w:tc>
          <w:tcPr>
            <w:tcW w:w="534" w:type="dxa"/>
          </w:tcPr>
          <w:p w:rsidR="00110E1E" w:rsidRPr="00635203" w:rsidRDefault="00110E1E" w:rsidP="00635203">
            <w:pPr>
              <w:autoSpaceDE w:val="0"/>
              <w:autoSpaceDN w:val="0"/>
              <w:adjustRightInd w:val="0"/>
              <w:jc w:val="both"/>
              <w:rPr>
                <w:rFonts w:ascii="Calibri" w:hAnsi="Calibri" w:cs="Calibri"/>
                <w:sz w:val="24"/>
                <w:szCs w:val="24"/>
                <w:lang w:val="es-ES"/>
              </w:rPr>
            </w:pPr>
          </w:p>
        </w:tc>
        <w:tc>
          <w:tcPr>
            <w:tcW w:w="9213" w:type="dxa"/>
          </w:tcPr>
          <w:p w:rsidR="00110E1E" w:rsidRPr="00635203" w:rsidRDefault="00110E1E" w:rsidP="00635203">
            <w:pPr>
              <w:autoSpaceDE w:val="0"/>
              <w:autoSpaceDN w:val="0"/>
              <w:adjustRightInd w:val="0"/>
              <w:jc w:val="both"/>
              <w:rPr>
                <w:rFonts w:ascii="Calibri" w:hAnsi="Calibri" w:cs="Calibri"/>
                <w:sz w:val="24"/>
                <w:szCs w:val="24"/>
                <w:lang w:val="es-ES"/>
              </w:rPr>
            </w:pPr>
          </w:p>
        </w:tc>
      </w:tr>
      <w:tr w:rsidR="00110E1E" w:rsidRPr="00635203" w:rsidTr="00110E1E">
        <w:tc>
          <w:tcPr>
            <w:tcW w:w="534" w:type="dxa"/>
          </w:tcPr>
          <w:p w:rsidR="00110E1E" w:rsidRPr="00635203" w:rsidRDefault="00110E1E" w:rsidP="00635203">
            <w:pPr>
              <w:autoSpaceDE w:val="0"/>
              <w:autoSpaceDN w:val="0"/>
              <w:adjustRightInd w:val="0"/>
              <w:jc w:val="both"/>
              <w:rPr>
                <w:rFonts w:ascii="Calibri" w:hAnsi="Calibri" w:cs="Calibri"/>
                <w:sz w:val="24"/>
                <w:szCs w:val="24"/>
                <w:lang w:val="es-ES"/>
              </w:rPr>
            </w:pPr>
            <w:r w:rsidRPr="00635203">
              <w:rPr>
                <w:rFonts w:ascii="Calibri" w:hAnsi="Calibri" w:cs="Calibri"/>
                <w:sz w:val="24"/>
                <w:szCs w:val="24"/>
                <w:lang w:val="es-ES"/>
              </w:rPr>
              <w:t>28</w:t>
            </w:r>
          </w:p>
        </w:tc>
        <w:tc>
          <w:tcPr>
            <w:tcW w:w="9213" w:type="dxa"/>
          </w:tcPr>
          <w:p w:rsidR="00110E1E" w:rsidRPr="00635203" w:rsidRDefault="00110E1E" w:rsidP="00635203">
            <w:pPr>
              <w:autoSpaceDE w:val="0"/>
              <w:autoSpaceDN w:val="0"/>
              <w:adjustRightInd w:val="0"/>
              <w:jc w:val="both"/>
              <w:rPr>
                <w:rFonts w:ascii="Calibri" w:hAnsi="Calibri" w:cs="Calibri"/>
                <w:sz w:val="24"/>
                <w:szCs w:val="24"/>
                <w:lang w:val="es-ES"/>
              </w:rPr>
            </w:pPr>
            <w:r w:rsidRPr="00635203">
              <w:rPr>
                <w:rFonts w:ascii="Calibri" w:hAnsi="Calibri" w:cs="Calibri"/>
                <w:sz w:val="24"/>
                <w:szCs w:val="24"/>
                <w:lang w:val="es-ES"/>
              </w:rPr>
              <w:t xml:space="preserve">Hoy en día, la elaboración de un Nuevo Estatus Político obedece a una nueva voluntad del Pueblo Vasco de desarrollar la previsión constitucional y estatutaria relativa a la actualización de los Derechos Históricos, que tuvo la expresión más cercana en la historia hace ahora cuarenta años a través del Estatuto de </w:t>
            </w:r>
            <w:proofErr w:type="spellStart"/>
            <w:r w:rsidRPr="00635203">
              <w:rPr>
                <w:rFonts w:ascii="Calibri" w:hAnsi="Calibri" w:cs="Calibri"/>
                <w:sz w:val="24"/>
                <w:szCs w:val="24"/>
                <w:lang w:val="es-ES"/>
              </w:rPr>
              <w:t>Gernika</w:t>
            </w:r>
            <w:proofErr w:type="spellEnd"/>
            <w:r w:rsidRPr="00635203">
              <w:rPr>
                <w:rFonts w:ascii="Calibri" w:hAnsi="Calibri" w:cs="Calibri"/>
                <w:sz w:val="24"/>
                <w:szCs w:val="24"/>
                <w:lang w:val="es-ES"/>
              </w:rPr>
              <w:t>.</w:t>
            </w:r>
          </w:p>
        </w:tc>
      </w:tr>
      <w:tr w:rsidR="00110E1E" w:rsidRPr="00635203" w:rsidTr="00110E1E">
        <w:tc>
          <w:tcPr>
            <w:tcW w:w="534" w:type="dxa"/>
          </w:tcPr>
          <w:p w:rsidR="00110E1E" w:rsidRPr="00635203" w:rsidRDefault="00110E1E" w:rsidP="00635203">
            <w:pPr>
              <w:autoSpaceDE w:val="0"/>
              <w:autoSpaceDN w:val="0"/>
              <w:adjustRightInd w:val="0"/>
              <w:jc w:val="both"/>
              <w:rPr>
                <w:rFonts w:ascii="Calibri" w:hAnsi="Calibri" w:cs="Calibri"/>
                <w:sz w:val="24"/>
                <w:szCs w:val="24"/>
                <w:lang w:val="es-ES"/>
              </w:rPr>
            </w:pPr>
          </w:p>
        </w:tc>
        <w:tc>
          <w:tcPr>
            <w:tcW w:w="9213" w:type="dxa"/>
          </w:tcPr>
          <w:p w:rsidR="00110E1E" w:rsidRPr="00635203" w:rsidRDefault="00110E1E" w:rsidP="00635203">
            <w:pPr>
              <w:autoSpaceDE w:val="0"/>
              <w:autoSpaceDN w:val="0"/>
              <w:adjustRightInd w:val="0"/>
              <w:jc w:val="both"/>
              <w:rPr>
                <w:rFonts w:ascii="Calibri" w:hAnsi="Calibri" w:cs="Calibri"/>
                <w:sz w:val="24"/>
                <w:szCs w:val="24"/>
                <w:lang w:val="es-ES"/>
              </w:rPr>
            </w:pPr>
          </w:p>
        </w:tc>
      </w:tr>
      <w:tr w:rsidR="00546746" w:rsidRPr="00635203" w:rsidTr="00110E1E">
        <w:tc>
          <w:tcPr>
            <w:tcW w:w="534" w:type="dxa"/>
          </w:tcPr>
          <w:p w:rsidR="00546746" w:rsidRPr="00635203" w:rsidRDefault="00546746" w:rsidP="00635203">
            <w:pPr>
              <w:autoSpaceDE w:val="0"/>
              <w:autoSpaceDN w:val="0"/>
              <w:adjustRightInd w:val="0"/>
              <w:jc w:val="both"/>
              <w:rPr>
                <w:rFonts w:ascii="Calibri" w:hAnsi="Calibri" w:cs="Calibri"/>
                <w:sz w:val="24"/>
                <w:szCs w:val="24"/>
                <w:lang w:val="es-ES"/>
              </w:rPr>
            </w:pPr>
            <w:r w:rsidRPr="00635203">
              <w:rPr>
                <w:rFonts w:ascii="Calibri" w:hAnsi="Calibri" w:cs="Calibri"/>
                <w:sz w:val="24"/>
                <w:szCs w:val="24"/>
                <w:lang w:val="es-ES"/>
              </w:rPr>
              <w:t>29</w:t>
            </w:r>
          </w:p>
        </w:tc>
        <w:tc>
          <w:tcPr>
            <w:tcW w:w="9213" w:type="dxa"/>
            <w:vMerge w:val="restart"/>
          </w:tcPr>
          <w:p w:rsidR="00546746" w:rsidRPr="00635203" w:rsidRDefault="00546746" w:rsidP="00635203">
            <w:pPr>
              <w:autoSpaceDE w:val="0"/>
              <w:autoSpaceDN w:val="0"/>
              <w:adjustRightInd w:val="0"/>
              <w:jc w:val="both"/>
              <w:rPr>
                <w:rFonts w:ascii="Calibri" w:hAnsi="Calibri" w:cs="Calibri"/>
                <w:sz w:val="24"/>
                <w:szCs w:val="24"/>
                <w:lang w:val="es-ES"/>
              </w:rPr>
            </w:pPr>
            <w:r w:rsidRPr="00635203">
              <w:rPr>
                <w:rFonts w:ascii="Calibri" w:hAnsi="Calibri" w:cs="Calibri"/>
                <w:sz w:val="24"/>
                <w:szCs w:val="24"/>
                <w:lang w:val="es-ES"/>
              </w:rPr>
              <w:t>El Pueblo Vasco siente ahora la necesidad de profundizar en la actualización de sus Derechos Históricos para que, con un nuevo enfoque de su relación con el Estado, posibilite nuevas capacidades  para afrontar los retos que como comunidad diferenciada le interpelan desde una ya instalada realidad globalizada, competitiva e interdependiente, que reclama a partes iguales cohesión interna, diferenciación competitiva y cooperación.</w:t>
            </w:r>
          </w:p>
        </w:tc>
      </w:tr>
      <w:tr w:rsidR="00546746" w:rsidRPr="00635203" w:rsidTr="00110E1E">
        <w:tc>
          <w:tcPr>
            <w:tcW w:w="534" w:type="dxa"/>
          </w:tcPr>
          <w:p w:rsidR="00546746" w:rsidRPr="00635203" w:rsidRDefault="00546746" w:rsidP="00635203">
            <w:pPr>
              <w:autoSpaceDE w:val="0"/>
              <w:autoSpaceDN w:val="0"/>
              <w:adjustRightInd w:val="0"/>
              <w:jc w:val="both"/>
              <w:rPr>
                <w:rFonts w:ascii="Calibri" w:hAnsi="Calibri" w:cs="Calibri"/>
                <w:sz w:val="24"/>
                <w:szCs w:val="24"/>
                <w:lang w:val="es-ES"/>
              </w:rPr>
            </w:pPr>
          </w:p>
        </w:tc>
        <w:tc>
          <w:tcPr>
            <w:tcW w:w="9213" w:type="dxa"/>
            <w:vMerge/>
          </w:tcPr>
          <w:p w:rsidR="00546746" w:rsidRPr="00635203" w:rsidRDefault="00546746" w:rsidP="00635203">
            <w:pPr>
              <w:autoSpaceDE w:val="0"/>
              <w:autoSpaceDN w:val="0"/>
              <w:adjustRightInd w:val="0"/>
              <w:jc w:val="both"/>
              <w:rPr>
                <w:rFonts w:ascii="Calibri" w:hAnsi="Calibri" w:cs="Calibri"/>
                <w:sz w:val="24"/>
                <w:szCs w:val="24"/>
                <w:lang w:val="es-ES"/>
              </w:rPr>
            </w:pPr>
          </w:p>
        </w:tc>
      </w:tr>
      <w:tr w:rsidR="00110E1E" w:rsidRPr="00635203" w:rsidTr="00110E1E">
        <w:tc>
          <w:tcPr>
            <w:tcW w:w="534" w:type="dxa"/>
          </w:tcPr>
          <w:p w:rsidR="00110E1E" w:rsidRPr="00635203" w:rsidRDefault="00110E1E" w:rsidP="00635203">
            <w:pPr>
              <w:autoSpaceDE w:val="0"/>
              <w:autoSpaceDN w:val="0"/>
              <w:adjustRightInd w:val="0"/>
              <w:jc w:val="both"/>
              <w:rPr>
                <w:rFonts w:ascii="Calibri" w:hAnsi="Calibri" w:cs="Calibri"/>
                <w:sz w:val="24"/>
                <w:szCs w:val="24"/>
                <w:lang w:val="es-ES"/>
              </w:rPr>
            </w:pPr>
          </w:p>
        </w:tc>
        <w:tc>
          <w:tcPr>
            <w:tcW w:w="9213" w:type="dxa"/>
          </w:tcPr>
          <w:p w:rsidR="00110E1E" w:rsidRPr="00635203" w:rsidRDefault="00110E1E" w:rsidP="00635203">
            <w:pPr>
              <w:autoSpaceDE w:val="0"/>
              <w:autoSpaceDN w:val="0"/>
              <w:adjustRightInd w:val="0"/>
              <w:jc w:val="both"/>
              <w:rPr>
                <w:rFonts w:ascii="Calibri" w:hAnsi="Calibri" w:cs="Calibri"/>
                <w:sz w:val="24"/>
                <w:szCs w:val="24"/>
                <w:lang w:val="es-ES"/>
              </w:rPr>
            </w:pPr>
          </w:p>
        </w:tc>
      </w:tr>
      <w:tr w:rsidR="00110E1E" w:rsidRPr="00635203" w:rsidTr="00110E1E">
        <w:tc>
          <w:tcPr>
            <w:tcW w:w="534" w:type="dxa"/>
          </w:tcPr>
          <w:p w:rsidR="00110E1E" w:rsidRPr="00635203" w:rsidRDefault="00546746" w:rsidP="00635203">
            <w:pPr>
              <w:autoSpaceDE w:val="0"/>
              <w:autoSpaceDN w:val="0"/>
              <w:adjustRightInd w:val="0"/>
              <w:jc w:val="both"/>
              <w:rPr>
                <w:rFonts w:ascii="Calibri" w:hAnsi="Calibri" w:cs="Calibri"/>
                <w:sz w:val="24"/>
                <w:szCs w:val="24"/>
                <w:lang w:val="es-ES"/>
              </w:rPr>
            </w:pPr>
            <w:r w:rsidRPr="00635203">
              <w:rPr>
                <w:rFonts w:ascii="Calibri" w:hAnsi="Calibri" w:cs="Calibri"/>
                <w:sz w:val="24"/>
                <w:szCs w:val="24"/>
                <w:lang w:val="es-ES"/>
              </w:rPr>
              <w:t>30</w:t>
            </w:r>
          </w:p>
        </w:tc>
        <w:tc>
          <w:tcPr>
            <w:tcW w:w="9213" w:type="dxa"/>
          </w:tcPr>
          <w:p w:rsidR="00110E1E" w:rsidRPr="00635203" w:rsidRDefault="00110E1E" w:rsidP="00635203">
            <w:pPr>
              <w:autoSpaceDE w:val="0"/>
              <w:autoSpaceDN w:val="0"/>
              <w:adjustRightInd w:val="0"/>
              <w:jc w:val="both"/>
              <w:rPr>
                <w:rFonts w:ascii="Calibri" w:hAnsi="Calibri" w:cs="Calibri"/>
                <w:sz w:val="24"/>
                <w:szCs w:val="24"/>
                <w:lang w:val="es-ES"/>
              </w:rPr>
            </w:pPr>
            <w:r w:rsidRPr="00635203">
              <w:rPr>
                <w:rFonts w:ascii="Calibri" w:hAnsi="Calibri" w:cs="Calibri"/>
                <w:sz w:val="24"/>
                <w:szCs w:val="24"/>
                <w:lang w:val="es-ES"/>
              </w:rPr>
              <w:t>Decidir, en un mundo complejo e interdependiente como el contemporáneo, es, siempre, codecidir. Y toda codecisión comporta reconocimiento, responsabilidades y exigencias recíprocas para quienes la comparten. De ahí que las sociedades plurales, sean comunidades estatales o sub-estatales, articulan su pluralismo interno mediante mecanismos de codecisión; estableciendo vínculos a</w:t>
            </w:r>
            <w:r w:rsidR="00940983">
              <w:rPr>
                <w:rFonts w:ascii="Calibri" w:hAnsi="Calibri" w:cs="Calibri"/>
                <w:sz w:val="24"/>
                <w:szCs w:val="24"/>
                <w:lang w:val="es-ES"/>
              </w:rPr>
              <w:t>cordados que só</w:t>
            </w:r>
            <w:r w:rsidRPr="00635203">
              <w:rPr>
                <w:rFonts w:ascii="Calibri" w:hAnsi="Calibri" w:cs="Calibri"/>
                <w:sz w:val="24"/>
                <w:szCs w:val="24"/>
                <w:lang w:val="es-ES"/>
              </w:rPr>
              <w:t>lo se pueden modificar de manera pactada.</w:t>
            </w:r>
          </w:p>
        </w:tc>
      </w:tr>
      <w:tr w:rsidR="00110E1E" w:rsidRPr="00635203" w:rsidTr="00110E1E">
        <w:tc>
          <w:tcPr>
            <w:tcW w:w="534" w:type="dxa"/>
          </w:tcPr>
          <w:p w:rsidR="00110E1E" w:rsidRPr="00635203" w:rsidRDefault="00110E1E" w:rsidP="00635203">
            <w:pPr>
              <w:autoSpaceDE w:val="0"/>
              <w:autoSpaceDN w:val="0"/>
              <w:adjustRightInd w:val="0"/>
              <w:jc w:val="both"/>
              <w:rPr>
                <w:rFonts w:ascii="Calibri" w:hAnsi="Calibri" w:cs="Calibri"/>
                <w:sz w:val="24"/>
                <w:szCs w:val="24"/>
                <w:lang w:val="es-ES"/>
              </w:rPr>
            </w:pPr>
          </w:p>
        </w:tc>
        <w:tc>
          <w:tcPr>
            <w:tcW w:w="9213" w:type="dxa"/>
          </w:tcPr>
          <w:p w:rsidR="00110E1E" w:rsidRPr="00635203" w:rsidRDefault="00110E1E" w:rsidP="00635203">
            <w:pPr>
              <w:autoSpaceDE w:val="0"/>
              <w:autoSpaceDN w:val="0"/>
              <w:adjustRightInd w:val="0"/>
              <w:jc w:val="both"/>
              <w:rPr>
                <w:rFonts w:ascii="Calibri" w:hAnsi="Calibri" w:cs="Calibri"/>
                <w:sz w:val="24"/>
                <w:szCs w:val="24"/>
                <w:lang w:val="es-ES"/>
              </w:rPr>
            </w:pPr>
          </w:p>
        </w:tc>
      </w:tr>
      <w:tr w:rsidR="00110E1E" w:rsidRPr="00635203" w:rsidTr="00110E1E">
        <w:tc>
          <w:tcPr>
            <w:tcW w:w="534" w:type="dxa"/>
          </w:tcPr>
          <w:p w:rsidR="00110E1E" w:rsidRPr="00635203" w:rsidRDefault="00546746" w:rsidP="00635203">
            <w:pPr>
              <w:jc w:val="both"/>
              <w:rPr>
                <w:rFonts w:ascii="Calibri" w:eastAsia="Calibri" w:hAnsi="Calibri" w:cs="Calibri"/>
                <w:sz w:val="24"/>
                <w:szCs w:val="24"/>
                <w:bdr w:val="none" w:sz="0" w:space="0" w:color="auto" w:frame="1"/>
                <w:lang w:val="es-ES"/>
              </w:rPr>
            </w:pPr>
            <w:r w:rsidRPr="00635203">
              <w:rPr>
                <w:rFonts w:ascii="Calibri" w:eastAsia="Calibri" w:hAnsi="Calibri" w:cs="Calibri"/>
                <w:sz w:val="24"/>
                <w:szCs w:val="24"/>
                <w:bdr w:val="none" w:sz="0" w:space="0" w:color="auto" w:frame="1"/>
                <w:lang w:val="es-ES"/>
              </w:rPr>
              <w:t>31</w:t>
            </w:r>
          </w:p>
        </w:tc>
        <w:tc>
          <w:tcPr>
            <w:tcW w:w="9213" w:type="dxa"/>
          </w:tcPr>
          <w:p w:rsidR="00110E1E" w:rsidRPr="00635203" w:rsidRDefault="00110E1E" w:rsidP="00635203">
            <w:pPr>
              <w:jc w:val="both"/>
              <w:rPr>
                <w:rFonts w:ascii="Calibri" w:eastAsia="Calibri" w:hAnsi="Calibri" w:cs="Calibri"/>
                <w:sz w:val="24"/>
                <w:szCs w:val="24"/>
                <w:bdr w:val="none" w:sz="0" w:space="0" w:color="auto" w:frame="1"/>
                <w:lang w:val="es-ES"/>
              </w:rPr>
            </w:pPr>
            <w:r w:rsidRPr="00635203">
              <w:rPr>
                <w:rFonts w:ascii="Calibri" w:eastAsia="Calibri" w:hAnsi="Calibri" w:cs="Calibri"/>
                <w:sz w:val="24"/>
                <w:szCs w:val="24"/>
                <w:bdr w:val="none" w:sz="0" w:space="0" w:color="auto" w:frame="1"/>
                <w:lang w:val="es-ES"/>
              </w:rPr>
              <w:t>Este acuerdo se sustentará en la voluntad libre y democráticamente expresada por la ciudadanía vasca tanto directamente (en distintas mo</w:t>
            </w:r>
            <w:r w:rsidR="00B73A6E">
              <w:rPr>
                <w:rFonts w:ascii="Calibri" w:eastAsia="Calibri" w:hAnsi="Calibri" w:cs="Calibri"/>
                <w:sz w:val="24"/>
                <w:szCs w:val="24"/>
                <w:bdr w:val="none" w:sz="0" w:space="0" w:color="auto" w:frame="1"/>
                <w:lang w:val="es-ES"/>
              </w:rPr>
              <w:t>dalidades de consulta y/o referé</w:t>
            </w:r>
            <w:r w:rsidRPr="00635203">
              <w:rPr>
                <w:rFonts w:ascii="Calibri" w:eastAsia="Calibri" w:hAnsi="Calibri" w:cs="Calibri"/>
                <w:sz w:val="24"/>
                <w:szCs w:val="24"/>
                <w:bdr w:val="none" w:sz="0" w:space="0" w:color="auto" w:frame="1"/>
                <w:lang w:val="es-ES"/>
              </w:rPr>
              <w:t xml:space="preserve">ndum) como a través de sus legítimos representantes (acuerdo en el Parlamento). </w:t>
            </w:r>
          </w:p>
          <w:p w:rsidR="00635203" w:rsidRPr="00635203" w:rsidRDefault="00635203" w:rsidP="00635203">
            <w:pPr>
              <w:jc w:val="both"/>
              <w:rPr>
                <w:rFonts w:ascii="Calibri" w:eastAsia="Calibri" w:hAnsi="Calibri" w:cs="Calibri"/>
                <w:sz w:val="24"/>
                <w:szCs w:val="24"/>
                <w:bdr w:val="none" w:sz="0" w:space="0" w:color="auto" w:frame="1"/>
                <w:lang w:val="es-ES"/>
              </w:rPr>
            </w:pPr>
          </w:p>
        </w:tc>
      </w:tr>
      <w:tr w:rsidR="00110E1E" w:rsidRPr="00635203" w:rsidTr="00110E1E">
        <w:tc>
          <w:tcPr>
            <w:tcW w:w="534" w:type="dxa"/>
          </w:tcPr>
          <w:p w:rsidR="00110E1E" w:rsidRPr="00635203" w:rsidRDefault="00546746" w:rsidP="00635203">
            <w:pPr>
              <w:pStyle w:val="Sinespaciado"/>
              <w:jc w:val="both"/>
              <w:rPr>
                <w:sz w:val="24"/>
                <w:szCs w:val="24"/>
                <w:bdr w:val="none" w:sz="0" w:space="0" w:color="auto" w:frame="1"/>
              </w:rPr>
            </w:pPr>
            <w:r w:rsidRPr="00635203">
              <w:rPr>
                <w:sz w:val="24"/>
                <w:szCs w:val="24"/>
                <w:bdr w:val="none" w:sz="0" w:space="0" w:color="auto" w:frame="1"/>
              </w:rPr>
              <w:t>32</w:t>
            </w:r>
          </w:p>
        </w:tc>
        <w:tc>
          <w:tcPr>
            <w:tcW w:w="9213" w:type="dxa"/>
          </w:tcPr>
          <w:p w:rsidR="00110E1E" w:rsidRPr="00635203" w:rsidRDefault="00110E1E" w:rsidP="00B73A6E">
            <w:pPr>
              <w:pStyle w:val="Sinespaciado"/>
              <w:jc w:val="both"/>
              <w:rPr>
                <w:sz w:val="24"/>
                <w:szCs w:val="24"/>
                <w:bdr w:val="none" w:sz="0" w:space="0" w:color="auto" w:frame="1"/>
              </w:rPr>
            </w:pPr>
            <w:r w:rsidRPr="00635203">
              <w:rPr>
                <w:sz w:val="24"/>
                <w:szCs w:val="24"/>
                <w:bdr w:val="none" w:sz="0" w:space="0" w:color="auto" w:frame="1"/>
              </w:rPr>
              <w:t>La voluntad del Pueblo Vasco (manifestada mediante la lib</w:t>
            </w:r>
            <w:r w:rsidR="00B73A6E">
              <w:rPr>
                <w:sz w:val="24"/>
                <w:szCs w:val="24"/>
                <w:bdr w:val="none" w:sz="0" w:space="0" w:color="auto" w:frame="1"/>
              </w:rPr>
              <w:t xml:space="preserve">re decisión de las ciudadanas y </w:t>
            </w:r>
            <w:r w:rsidRPr="00635203">
              <w:rPr>
                <w:sz w:val="24"/>
                <w:szCs w:val="24"/>
                <w:bdr w:val="none" w:sz="0" w:space="0" w:color="auto" w:frame="1"/>
              </w:rPr>
              <w:t xml:space="preserve">ciudadanos de los Territorios Históricos de Araba, </w:t>
            </w:r>
            <w:proofErr w:type="spellStart"/>
            <w:r w:rsidRPr="00635203">
              <w:rPr>
                <w:sz w:val="24"/>
                <w:szCs w:val="24"/>
                <w:bdr w:val="none" w:sz="0" w:space="0" w:color="auto" w:frame="1"/>
              </w:rPr>
              <w:t>Bizkaia</w:t>
            </w:r>
            <w:proofErr w:type="spellEnd"/>
            <w:r w:rsidRPr="00635203">
              <w:rPr>
                <w:sz w:val="24"/>
                <w:szCs w:val="24"/>
                <w:bdr w:val="none" w:sz="0" w:space="0" w:color="auto" w:frame="1"/>
              </w:rPr>
              <w:t xml:space="preserve"> y Gipuzkoa) y los Derechos Históricos que como tal le hubieran podido corresponder en virtud de su historia (se</w:t>
            </w:r>
            <w:r w:rsidR="00B73A6E">
              <w:rPr>
                <w:sz w:val="24"/>
                <w:szCs w:val="24"/>
                <w:bdr w:val="none" w:sz="0" w:space="0" w:color="auto" w:frame="1"/>
              </w:rPr>
              <w:t>gún reza</w:t>
            </w:r>
            <w:r w:rsidR="00553F28">
              <w:rPr>
                <w:sz w:val="24"/>
                <w:szCs w:val="24"/>
              </w:rPr>
              <w:t xml:space="preserve"> </w:t>
            </w:r>
            <w:r w:rsidR="00553F28" w:rsidRPr="00635203">
              <w:rPr>
                <w:sz w:val="24"/>
                <w:szCs w:val="24"/>
              </w:rPr>
              <w:t xml:space="preserve">la Disposición Adicional 1ª CE y la Adicional Única del Estatuto de </w:t>
            </w:r>
            <w:proofErr w:type="spellStart"/>
            <w:r w:rsidR="00553F28" w:rsidRPr="00635203">
              <w:rPr>
                <w:sz w:val="24"/>
                <w:szCs w:val="24"/>
              </w:rPr>
              <w:t>Gernika</w:t>
            </w:r>
            <w:proofErr w:type="spellEnd"/>
            <w:r w:rsidRPr="00635203">
              <w:rPr>
                <w:sz w:val="24"/>
                <w:szCs w:val="24"/>
                <w:bdr w:val="none" w:sz="0" w:space="0" w:color="auto" w:frame="1"/>
              </w:rPr>
              <w:t>) será</w:t>
            </w:r>
            <w:r w:rsidR="00940983">
              <w:rPr>
                <w:sz w:val="24"/>
                <w:szCs w:val="24"/>
                <w:bdr w:val="none" w:sz="0" w:space="0" w:color="auto" w:frame="1"/>
              </w:rPr>
              <w:t>n</w:t>
            </w:r>
            <w:r w:rsidRPr="00635203">
              <w:rPr>
                <w:sz w:val="24"/>
                <w:szCs w:val="24"/>
                <w:bdr w:val="none" w:sz="0" w:space="0" w:color="auto" w:frame="1"/>
              </w:rPr>
              <w:t xml:space="preserve"> el fundamento y el vehículo, respectivamente, para la elaboración de una nueva propuesta de Estatus Político.</w:t>
            </w:r>
          </w:p>
        </w:tc>
      </w:tr>
      <w:tr w:rsidR="00110E1E" w:rsidRPr="00635203" w:rsidTr="00110E1E">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p>
        </w:tc>
      </w:tr>
      <w:tr w:rsidR="00110E1E" w:rsidRPr="00635203" w:rsidTr="00110E1E">
        <w:tc>
          <w:tcPr>
            <w:tcW w:w="534" w:type="dxa"/>
          </w:tcPr>
          <w:p w:rsidR="00110E1E" w:rsidRPr="00635203" w:rsidRDefault="00546746" w:rsidP="00635203">
            <w:pPr>
              <w:pStyle w:val="Sinespaciado"/>
              <w:jc w:val="both"/>
              <w:rPr>
                <w:sz w:val="24"/>
                <w:szCs w:val="24"/>
              </w:rPr>
            </w:pPr>
            <w:r w:rsidRPr="00635203">
              <w:rPr>
                <w:sz w:val="24"/>
                <w:szCs w:val="24"/>
              </w:rPr>
              <w:t>33</w:t>
            </w:r>
          </w:p>
        </w:tc>
        <w:tc>
          <w:tcPr>
            <w:tcW w:w="9213" w:type="dxa"/>
          </w:tcPr>
          <w:p w:rsidR="00110E1E" w:rsidRPr="00635203" w:rsidRDefault="00514A93" w:rsidP="00635203">
            <w:pPr>
              <w:pStyle w:val="Sinespaciado"/>
              <w:jc w:val="both"/>
              <w:rPr>
                <w:sz w:val="24"/>
                <w:szCs w:val="24"/>
                <w:bdr w:val="none" w:sz="0" w:space="0" w:color="auto" w:frame="1"/>
              </w:rPr>
            </w:pPr>
            <w:r>
              <w:rPr>
                <w:sz w:val="24"/>
                <w:szCs w:val="24"/>
              </w:rPr>
              <w:t>La actualización del A</w:t>
            </w:r>
            <w:r w:rsidR="00110E1E" w:rsidRPr="00635203">
              <w:rPr>
                <w:sz w:val="24"/>
                <w:szCs w:val="24"/>
              </w:rPr>
              <w:t>utogobierno vasco debe atend</w:t>
            </w:r>
            <w:r w:rsidR="009A4CD5">
              <w:rPr>
                <w:sz w:val="24"/>
                <w:szCs w:val="24"/>
              </w:rPr>
              <w:t>er al</w:t>
            </w:r>
            <w:r w:rsidR="00110E1E" w:rsidRPr="00635203">
              <w:rPr>
                <w:sz w:val="24"/>
                <w:szCs w:val="24"/>
              </w:rPr>
              <w:t xml:space="preserve"> principio de legalidad.  </w:t>
            </w:r>
            <w:r w:rsidR="00110E1E" w:rsidRPr="00635203">
              <w:rPr>
                <w:sz w:val="24"/>
                <w:szCs w:val="24"/>
                <w:bdr w:val="none" w:sz="0" w:space="0" w:color="auto" w:frame="1"/>
              </w:rPr>
              <w:t>No obstante, el respeto a la legalidad no debe provocar la vulneración del principio democrático. Un principio que exige dotar de un valor relevante y primario a la decisión de la ciudadanía vasca.</w:t>
            </w:r>
          </w:p>
        </w:tc>
      </w:tr>
      <w:tr w:rsidR="00110E1E" w:rsidRPr="00635203" w:rsidTr="00110E1E">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p>
        </w:tc>
      </w:tr>
      <w:tr w:rsidR="00110E1E" w:rsidRPr="00635203" w:rsidTr="00110E1E">
        <w:tc>
          <w:tcPr>
            <w:tcW w:w="534" w:type="dxa"/>
          </w:tcPr>
          <w:p w:rsidR="00110E1E" w:rsidRPr="00635203" w:rsidRDefault="00546746" w:rsidP="00635203">
            <w:pPr>
              <w:pStyle w:val="Sinespaciado"/>
              <w:jc w:val="both"/>
              <w:rPr>
                <w:rFonts w:cs="Calibri"/>
                <w:sz w:val="24"/>
                <w:szCs w:val="24"/>
              </w:rPr>
            </w:pPr>
            <w:r w:rsidRPr="00635203">
              <w:rPr>
                <w:rFonts w:cs="Calibri"/>
                <w:sz w:val="24"/>
                <w:szCs w:val="24"/>
              </w:rPr>
              <w:t>34</w:t>
            </w:r>
          </w:p>
        </w:tc>
        <w:tc>
          <w:tcPr>
            <w:tcW w:w="9213" w:type="dxa"/>
          </w:tcPr>
          <w:p w:rsidR="00110E1E" w:rsidRPr="00635203" w:rsidRDefault="00110E1E" w:rsidP="00635203">
            <w:pPr>
              <w:pStyle w:val="Sinespaciado"/>
              <w:jc w:val="both"/>
              <w:rPr>
                <w:rFonts w:cs="Calibri"/>
                <w:sz w:val="24"/>
                <w:szCs w:val="24"/>
              </w:rPr>
            </w:pPr>
            <w:r w:rsidRPr="00635203">
              <w:rPr>
                <w:rFonts w:cs="Calibri"/>
                <w:sz w:val="24"/>
                <w:szCs w:val="24"/>
              </w:rPr>
              <w:t xml:space="preserve">Se trata, por tanto, de reconocer el derecho y la capacidad de los vascos y las vascas para decidir, expresar y ejercer su voluntad colectiva  de cara a la consecución de fórmulas de convivencia acordadas voluntariamente y de establecer mecanismos que garanticen que los compromisos alcanzados serán respetados. </w:t>
            </w:r>
          </w:p>
        </w:tc>
      </w:tr>
      <w:tr w:rsidR="00110E1E" w:rsidRPr="00635203" w:rsidTr="00110E1E">
        <w:tc>
          <w:tcPr>
            <w:tcW w:w="534" w:type="dxa"/>
          </w:tcPr>
          <w:p w:rsidR="00110E1E" w:rsidRPr="00635203" w:rsidRDefault="00110E1E" w:rsidP="00635203">
            <w:pPr>
              <w:pStyle w:val="Sinespaciado"/>
              <w:jc w:val="both"/>
              <w:rPr>
                <w:rFonts w:cs="Calibri"/>
                <w:sz w:val="24"/>
                <w:szCs w:val="24"/>
              </w:rPr>
            </w:pPr>
          </w:p>
        </w:tc>
        <w:tc>
          <w:tcPr>
            <w:tcW w:w="9213" w:type="dxa"/>
          </w:tcPr>
          <w:p w:rsidR="00110E1E" w:rsidRPr="00635203" w:rsidRDefault="00110E1E" w:rsidP="00635203">
            <w:pPr>
              <w:pStyle w:val="Sinespaciado"/>
              <w:jc w:val="both"/>
              <w:rPr>
                <w:rFonts w:cs="Calibri"/>
                <w:sz w:val="24"/>
                <w:szCs w:val="24"/>
              </w:rPr>
            </w:pPr>
          </w:p>
        </w:tc>
      </w:tr>
      <w:tr w:rsidR="00110E1E" w:rsidRPr="00635203" w:rsidTr="00110E1E">
        <w:tc>
          <w:tcPr>
            <w:tcW w:w="534" w:type="dxa"/>
          </w:tcPr>
          <w:p w:rsidR="00110E1E" w:rsidRPr="00635203" w:rsidRDefault="00546746" w:rsidP="00635203">
            <w:pPr>
              <w:jc w:val="both"/>
              <w:rPr>
                <w:rFonts w:ascii="Calibri" w:eastAsia="Calibri" w:hAnsi="Calibri" w:cs="Calibri"/>
                <w:sz w:val="24"/>
                <w:szCs w:val="24"/>
                <w:bdr w:val="none" w:sz="0" w:space="0" w:color="auto" w:frame="1"/>
                <w:lang w:val="es-ES"/>
              </w:rPr>
            </w:pPr>
            <w:r w:rsidRPr="00635203">
              <w:rPr>
                <w:rFonts w:ascii="Calibri" w:eastAsia="Calibri" w:hAnsi="Calibri" w:cs="Calibri"/>
                <w:sz w:val="24"/>
                <w:szCs w:val="24"/>
                <w:bdr w:val="none" w:sz="0" w:space="0" w:color="auto" w:frame="1"/>
                <w:lang w:val="es-ES"/>
              </w:rPr>
              <w:t>35</w:t>
            </w:r>
          </w:p>
        </w:tc>
        <w:tc>
          <w:tcPr>
            <w:tcW w:w="9213" w:type="dxa"/>
          </w:tcPr>
          <w:p w:rsidR="00110E1E" w:rsidRDefault="00110E1E" w:rsidP="00635203">
            <w:pPr>
              <w:jc w:val="both"/>
              <w:rPr>
                <w:rFonts w:ascii="Calibri" w:eastAsia="Calibri" w:hAnsi="Calibri" w:cs="Calibri"/>
                <w:sz w:val="24"/>
                <w:szCs w:val="24"/>
                <w:bdr w:val="none" w:sz="0" w:space="0" w:color="auto" w:frame="1"/>
                <w:lang w:val="es-ES"/>
              </w:rPr>
            </w:pPr>
            <w:r w:rsidRPr="00635203">
              <w:rPr>
                <w:rFonts w:ascii="Calibri" w:eastAsia="Calibri" w:hAnsi="Calibri" w:cs="Calibri"/>
                <w:sz w:val="24"/>
                <w:szCs w:val="24"/>
                <w:bdr w:val="none" w:sz="0" w:space="0" w:color="auto" w:frame="1"/>
                <w:lang w:val="es-ES"/>
              </w:rPr>
              <w:t>Este  Estatuto es un ejercicio del derecho y capacidad de decisión de la ciudadanía vasca que de forma mayoritaria y en este momento histórico decide alcanzar un acuerdo plural, amplio y transversal.</w:t>
            </w:r>
          </w:p>
          <w:p w:rsidR="009A4CD5" w:rsidRPr="00635203" w:rsidRDefault="009A4CD5" w:rsidP="00635203">
            <w:pPr>
              <w:jc w:val="both"/>
              <w:rPr>
                <w:rFonts w:ascii="Calibri" w:eastAsia="Calibri" w:hAnsi="Calibri" w:cs="Calibri"/>
                <w:sz w:val="24"/>
                <w:szCs w:val="24"/>
                <w:bdr w:val="none" w:sz="0" w:space="0" w:color="auto" w:frame="1"/>
                <w:lang w:val="es-ES"/>
              </w:rPr>
            </w:pPr>
          </w:p>
        </w:tc>
      </w:tr>
      <w:tr w:rsidR="00110E1E" w:rsidRPr="00635203" w:rsidTr="00110E1E">
        <w:tc>
          <w:tcPr>
            <w:tcW w:w="534" w:type="dxa"/>
          </w:tcPr>
          <w:p w:rsidR="00110E1E" w:rsidRPr="00635203" w:rsidRDefault="00546746" w:rsidP="00635203">
            <w:pPr>
              <w:pStyle w:val="Parrafonumerado"/>
              <w:tabs>
                <w:tab w:val="left" w:pos="0"/>
              </w:tabs>
              <w:spacing w:line="240" w:lineRule="auto"/>
              <w:rPr>
                <w:rFonts w:ascii="Calibri" w:eastAsia="Calibri" w:hAnsi="Calibri" w:cs="Calibri"/>
                <w:color w:val="auto"/>
                <w:sz w:val="24"/>
                <w:szCs w:val="24"/>
                <w:bdr w:val="none" w:sz="0" w:space="0" w:color="auto" w:frame="1"/>
                <w:lang w:val="es-ES"/>
              </w:rPr>
            </w:pPr>
            <w:r w:rsidRPr="00635203">
              <w:rPr>
                <w:rFonts w:ascii="Calibri" w:eastAsia="Calibri" w:hAnsi="Calibri" w:cs="Calibri"/>
                <w:color w:val="auto"/>
                <w:sz w:val="24"/>
                <w:szCs w:val="24"/>
                <w:bdr w:val="none" w:sz="0" w:space="0" w:color="auto" w:frame="1"/>
                <w:lang w:val="es-ES"/>
              </w:rPr>
              <w:lastRenderedPageBreak/>
              <w:t>36</w:t>
            </w:r>
          </w:p>
        </w:tc>
        <w:tc>
          <w:tcPr>
            <w:tcW w:w="9213" w:type="dxa"/>
          </w:tcPr>
          <w:p w:rsidR="00110E1E" w:rsidRPr="00635203" w:rsidRDefault="00110E1E" w:rsidP="00635203">
            <w:pPr>
              <w:pStyle w:val="Parrafonumerado"/>
              <w:tabs>
                <w:tab w:val="left" w:pos="0"/>
              </w:tabs>
              <w:spacing w:line="240" w:lineRule="auto"/>
              <w:rPr>
                <w:rFonts w:ascii="Calibri" w:eastAsia="Calibri" w:hAnsi="Calibri" w:cs="Calibri"/>
                <w:b/>
                <w:color w:val="auto"/>
                <w:sz w:val="24"/>
                <w:szCs w:val="24"/>
                <w:bdr w:val="none" w:sz="0" w:space="0" w:color="auto" w:frame="1"/>
                <w:lang w:val="es-ES"/>
              </w:rPr>
            </w:pPr>
            <w:r w:rsidRPr="00635203">
              <w:rPr>
                <w:rFonts w:ascii="Calibri" w:eastAsia="Calibri" w:hAnsi="Calibri" w:cs="Calibri"/>
                <w:b/>
                <w:color w:val="auto"/>
                <w:sz w:val="24"/>
                <w:szCs w:val="24"/>
                <w:bdr w:val="none" w:sz="0" w:space="0" w:color="auto" w:frame="1"/>
                <w:lang w:val="es-ES"/>
              </w:rPr>
              <w:t>6.-</w:t>
            </w:r>
            <w:r w:rsidR="009A4CD5">
              <w:rPr>
                <w:rFonts w:ascii="Calibri" w:eastAsia="Calibri" w:hAnsi="Calibri" w:cs="Calibri"/>
                <w:b/>
                <w:color w:val="auto"/>
                <w:sz w:val="24"/>
                <w:szCs w:val="24"/>
                <w:bdr w:val="none" w:sz="0" w:space="0" w:color="auto" w:frame="1"/>
                <w:lang w:val="es-ES"/>
              </w:rPr>
              <w:t xml:space="preserve"> </w:t>
            </w:r>
            <w:r w:rsidRPr="00635203">
              <w:rPr>
                <w:rFonts w:ascii="Calibri" w:eastAsia="Calibri" w:hAnsi="Calibri" w:cs="Calibri"/>
                <w:b/>
                <w:color w:val="auto"/>
                <w:sz w:val="24"/>
                <w:szCs w:val="24"/>
                <w:bdr w:val="none" w:sz="0" w:space="0" w:color="auto" w:frame="1"/>
                <w:lang w:val="es-ES"/>
              </w:rPr>
              <w:t xml:space="preserve"> DERECHOS HISTÓRICOS</w:t>
            </w:r>
            <w:r w:rsidR="009A4CD5">
              <w:rPr>
                <w:rFonts w:ascii="Calibri" w:eastAsia="Calibri" w:hAnsi="Calibri" w:cs="Calibri"/>
                <w:b/>
                <w:color w:val="auto"/>
                <w:sz w:val="24"/>
                <w:szCs w:val="24"/>
                <w:bdr w:val="none" w:sz="0" w:space="0" w:color="auto" w:frame="1"/>
                <w:lang w:val="es-ES"/>
              </w:rPr>
              <w:t>.</w:t>
            </w:r>
          </w:p>
        </w:tc>
      </w:tr>
      <w:tr w:rsidR="00110E1E" w:rsidRPr="00635203" w:rsidTr="00110E1E">
        <w:tc>
          <w:tcPr>
            <w:tcW w:w="534" w:type="dxa"/>
          </w:tcPr>
          <w:p w:rsidR="00110E1E" w:rsidRPr="00635203" w:rsidRDefault="00546746" w:rsidP="00635203">
            <w:pPr>
              <w:jc w:val="both"/>
              <w:rPr>
                <w:rFonts w:ascii="Calibri" w:eastAsia="Calibri" w:hAnsi="Calibri" w:cs="Calibri"/>
                <w:sz w:val="24"/>
                <w:szCs w:val="24"/>
                <w:bdr w:val="none" w:sz="0" w:space="0" w:color="auto" w:frame="1"/>
                <w:lang w:val="es-ES"/>
              </w:rPr>
            </w:pPr>
            <w:r w:rsidRPr="00635203">
              <w:rPr>
                <w:rFonts w:ascii="Calibri" w:eastAsia="Calibri" w:hAnsi="Calibri" w:cs="Calibri"/>
                <w:sz w:val="24"/>
                <w:szCs w:val="24"/>
                <w:bdr w:val="none" w:sz="0" w:space="0" w:color="auto" w:frame="1"/>
                <w:lang w:val="es-ES"/>
              </w:rPr>
              <w:t>37</w:t>
            </w:r>
          </w:p>
        </w:tc>
        <w:tc>
          <w:tcPr>
            <w:tcW w:w="9213" w:type="dxa"/>
          </w:tcPr>
          <w:p w:rsidR="00110E1E" w:rsidRPr="00635203" w:rsidRDefault="00514A93" w:rsidP="00635203">
            <w:pPr>
              <w:jc w:val="both"/>
              <w:rPr>
                <w:rFonts w:ascii="Calibri" w:eastAsia="Calibri" w:hAnsi="Calibri" w:cs="Calibri"/>
                <w:sz w:val="24"/>
                <w:szCs w:val="24"/>
                <w:bdr w:val="none" w:sz="0" w:space="0" w:color="auto" w:frame="1"/>
                <w:lang w:val="es-ES"/>
              </w:rPr>
            </w:pPr>
            <w:r>
              <w:rPr>
                <w:rFonts w:ascii="Calibri" w:eastAsia="Calibri" w:hAnsi="Calibri" w:cs="Calibri"/>
                <w:sz w:val="24"/>
                <w:szCs w:val="24"/>
                <w:bdr w:val="none" w:sz="0" w:space="0" w:color="auto" w:frame="1"/>
                <w:lang w:val="es-ES"/>
              </w:rPr>
              <w:t>El titular de los Derechos H</w:t>
            </w:r>
            <w:r w:rsidR="00110E1E" w:rsidRPr="00635203">
              <w:rPr>
                <w:rFonts w:ascii="Calibri" w:eastAsia="Calibri" w:hAnsi="Calibri" w:cs="Calibri"/>
                <w:sz w:val="24"/>
                <w:szCs w:val="24"/>
                <w:bdr w:val="none" w:sz="0" w:space="0" w:color="auto" w:frame="1"/>
                <w:lang w:val="es-ES"/>
              </w:rPr>
              <w:t>istóricos es el Pueblo Vasco, cuya identidad nacional fundamenta su reconocida realidad jurídico-institucional. El texto articulado,  deberá avanz</w:t>
            </w:r>
            <w:r>
              <w:rPr>
                <w:rFonts w:ascii="Calibri" w:eastAsia="Calibri" w:hAnsi="Calibri" w:cs="Calibri"/>
                <w:sz w:val="24"/>
                <w:szCs w:val="24"/>
                <w:bdr w:val="none" w:sz="0" w:space="0" w:color="auto" w:frame="1"/>
                <w:lang w:val="es-ES"/>
              </w:rPr>
              <w:t>ar en la actualización de esos Derechos H</w:t>
            </w:r>
            <w:r w:rsidR="00110E1E" w:rsidRPr="00635203">
              <w:rPr>
                <w:rFonts w:ascii="Calibri" w:eastAsia="Calibri" w:hAnsi="Calibri" w:cs="Calibri"/>
                <w:sz w:val="24"/>
                <w:szCs w:val="24"/>
                <w:bdr w:val="none" w:sz="0" w:space="0" w:color="auto" w:frame="1"/>
                <w:lang w:val="es-ES"/>
              </w:rPr>
              <w:t xml:space="preserve">istóricos vascos que la Constitución de 1978 ampara y respeta, consolidando la actualización ya operada por el Estatuto de </w:t>
            </w:r>
            <w:proofErr w:type="spellStart"/>
            <w:r w:rsidR="00110E1E" w:rsidRPr="00635203">
              <w:rPr>
                <w:rFonts w:ascii="Calibri" w:eastAsia="Calibri" w:hAnsi="Calibri" w:cs="Calibri"/>
                <w:sz w:val="24"/>
                <w:szCs w:val="24"/>
                <w:bdr w:val="none" w:sz="0" w:space="0" w:color="auto" w:frame="1"/>
                <w:lang w:val="es-ES"/>
              </w:rPr>
              <w:t>Gernika</w:t>
            </w:r>
            <w:proofErr w:type="spellEnd"/>
            <w:r w:rsidR="00110E1E" w:rsidRPr="00635203">
              <w:rPr>
                <w:rFonts w:ascii="Calibri" w:eastAsia="Calibri" w:hAnsi="Calibri" w:cs="Calibri"/>
                <w:sz w:val="24"/>
                <w:szCs w:val="24"/>
                <w:bdr w:val="none" w:sz="0" w:space="0" w:color="auto" w:frame="1"/>
                <w:lang w:val="es-ES"/>
              </w:rPr>
              <w:t xml:space="preserve"> y la legislación ordinaria del Estado, y proyectándola hacia todos los ámbitos y materias necesarias para garantizar el bienestar de la ciudadanía, extendiendo su interpretación a nuevos niveles que posibiliten la profundiz</w:t>
            </w:r>
            <w:r>
              <w:rPr>
                <w:rFonts w:ascii="Calibri" w:eastAsia="Calibri" w:hAnsi="Calibri" w:cs="Calibri"/>
                <w:sz w:val="24"/>
                <w:szCs w:val="24"/>
                <w:bdr w:val="none" w:sz="0" w:space="0" w:color="auto" w:frame="1"/>
                <w:lang w:val="es-ES"/>
              </w:rPr>
              <w:t>ación y el blindaje de nuestro A</w:t>
            </w:r>
            <w:r w:rsidR="00110E1E" w:rsidRPr="00635203">
              <w:rPr>
                <w:rFonts w:ascii="Calibri" w:eastAsia="Calibri" w:hAnsi="Calibri" w:cs="Calibri"/>
                <w:sz w:val="24"/>
                <w:szCs w:val="24"/>
                <w:bdr w:val="none" w:sz="0" w:space="0" w:color="auto" w:frame="1"/>
                <w:lang w:val="es-ES"/>
              </w:rPr>
              <w:t xml:space="preserve">utogobierno y sirva de percha constitucional al Pueblo Vasco o </w:t>
            </w:r>
            <w:proofErr w:type="spellStart"/>
            <w:r w:rsidR="00110E1E" w:rsidRPr="00635203">
              <w:rPr>
                <w:rFonts w:ascii="Calibri" w:eastAsia="Calibri" w:hAnsi="Calibri" w:cs="Calibri"/>
                <w:sz w:val="24"/>
                <w:szCs w:val="24"/>
                <w:bdr w:val="none" w:sz="0" w:space="0" w:color="auto" w:frame="1"/>
                <w:lang w:val="es-ES"/>
              </w:rPr>
              <w:t>Euskal</w:t>
            </w:r>
            <w:proofErr w:type="spellEnd"/>
            <w:r w:rsidR="00110E1E" w:rsidRPr="00635203">
              <w:rPr>
                <w:rFonts w:ascii="Calibri" w:eastAsia="Calibri" w:hAnsi="Calibri" w:cs="Calibri"/>
                <w:sz w:val="24"/>
                <w:szCs w:val="24"/>
                <w:bdr w:val="none" w:sz="0" w:space="0" w:color="auto" w:frame="1"/>
                <w:lang w:val="es-ES"/>
              </w:rPr>
              <w:t xml:space="preserve"> </w:t>
            </w:r>
            <w:proofErr w:type="spellStart"/>
            <w:r w:rsidR="00110E1E" w:rsidRPr="00635203">
              <w:rPr>
                <w:rFonts w:ascii="Calibri" w:eastAsia="Calibri" w:hAnsi="Calibri" w:cs="Calibri"/>
                <w:sz w:val="24"/>
                <w:szCs w:val="24"/>
                <w:bdr w:val="none" w:sz="0" w:space="0" w:color="auto" w:frame="1"/>
                <w:lang w:val="es-ES"/>
              </w:rPr>
              <w:t>Herria</w:t>
            </w:r>
            <w:proofErr w:type="spellEnd"/>
            <w:r w:rsidR="00110E1E" w:rsidRPr="00635203">
              <w:rPr>
                <w:rFonts w:ascii="Calibri" w:eastAsia="Calibri" w:hAnsi="Calibri" w:cs="Calibri"/>
                <w:sz w:val="24"/>
                <w:szCs w:val="24"/>
                <w:bdr w:val="none" w:sz="0" w:space="0" w:color="auto" w:frame="1"/>
                <w:lang w:val="es-ES"/>
              </w:rPr>
              <w:t xml:space="preserve"> para configurar un nuevo modelo de relación con el Estado, bilateral, de</w:t>
            </w:r>
            <w:r w:rsidR="009A4CD5">
              <w:rPr>
                <w:rFonts w:ascii="Calibri" w:eastAsia="Calibri" w:hAnsi="Calibri" w:cs="Calibri"/>
                <w:sz w:val="24"/>
                <w:szCs w:val="24"/>
                <w:bdr w:val="none" w:sz="0" w:space="0" w:color="auto" w:frame="1"/>
                <w:lang w:val="es-ES"/>
              </w:rPr>
              <w:t xml:space="preserve"> respeto y reconocimiento mutuo</w:t>
            </w:r>
            <w:r w:rsidR="00B73A6E">
              <w:rPr>
                <w:rFonts w:ascii="Calibri" w:eastAsia="Calibri" w:hAnsi="Calibri" w:cs="Calibri"/>
                <w:sz w:val="24"/>
                <w:szCs w:val="24"/>
                <w:bdr w:val="none" w:sz="0" w:space="0" w:color="auto" w:frame="1"/>
                <w:lang w:val="es-ES"/>
              </w:rPr>
              <w:t xml:space="preserve">, </w:t>
            </w:r>
            <w:r w:rsidR="00110E1E" w:rsidRPr="00635203">
              <w:rPr>
                <w:rFonts w:ascii="Calibri" w:eastAsia="Calibri" w:hAnsi="Calibri" w:cs="Calibri"/>
                <w:sz w:val="24"/>
                <w:szCs w:val="24"/>
                <w:bdr w:val="none" w:sz="0" w:space="0" w:color="auto" w:frame="1"/>
                <w:lang w:val="es-ES"/>
              </w:rPr>
              <w:t>de naturaleza confederal.</w:t>
            </w:r>
          </w:p>
        </w:tc>
      </w:tr>
      <w:tr w:rsidR="00110E1E" w:rsidRPr="00635203" w:rsidTr="00110E1E">
        <w:tc>
          <w:tcPr>
            <w:tcW w:w="534" w:type="dxa"/>
          </w:tcPr>
          <w:p w:rsidR="00110E1E" w:rsidRPr="00635203" w:rsidRDefault="00110E1E" w:rsidP="00635203">
            <w:pPr>
              <w:jc w:val="both"/>
              <w:rPr>
                <w:rFonts w:ascii="Calibri" w:eastAsia="Calibri" w:hAnsi="Calibri" w:cs="Calibri"/>
                <w:sz w:val="24"/>
                <w:szCs w:val="24"/>
                <w:bdr w:val="none" w:sz="0" w:space="0" w:color="auto" w:frame="1"/>
                <w:lang w:val="es-ES"/>
              </w:rPr>
            </w:pPr>
          </w:p>
        </w:tc>
        <w:tc>
          <w:tcPr>
            <w:tcW w:w="9213" w:type="dxa"/>
          </w:tcPr>
          <w:p w:rsidR="00110E1E" w:rsidRPr="00635203" w:rsidRDefault="00110E1E" w:rsidP="00635203">
            <w:pPr>
              <w:jc w:val="both"/>
              <w:rPr>
                <w:rFonts w:ascii="Calibri" w:eastAsia="Calibri" w:hAnsi="Calibri" w:cs="Calibri"/>
                <w:sz w:val="24"/>
                <w:szCs w:val="24"/>
                <w:bdr w:val="none" w:sz="0" w:space="0" w:color="auto" w:frame="1"/>
                <w:lang w:val="es-ES"/>
              </w:rPr>
            </w:pPr>
          </w:p>
        </w:tc>
      </w:tr>
      <w:tr w:rsidR="00110E1E" w:rsidRPr="00635203" w:rsidTr="00110E1E">
        <w:tc>
          <w:tcPr>
            <w:tcW w:w="534" w:type="dxa"/>
          </w:tcPr>
          <w:p w:rsidR="00110E1E" w:rsidRPr="00635203" w:rsidRDefault="00110E1E" w:rsidP="00635203">
            <w:pPr>
              <w:jc w:val="both"/>
              <w:rPr>
                <w:rFonts w:ascii="Calibri" w:eastAsia="Calibri" w:hAnsi="Calibri" w:cs="Calibri"/>
                <w:sz w:val="24"/>
                <w:szCs w:val="24"/>
                <w:bdr w:val="none" w:sz="0" w:space="0" w:color="auto" w:frame="1"/>
                <w:lang w:val="es-ES"/>
              </w:rPr>
            </w:pPr>
          </w:p>
        </w:tc>
        <w:tc>
          <w:tcPr>
            <w:tcW w:w="9213" w:type="dxa"/>
          </w:tcPr>
          <w:p w:rsidR="00110E1E" w:rsidRPr="00635203" w:rsidRDefault="00110E1E" w:rsidP="00635203">
            <w:pPr>
              <w:jc w:val="both"/>
              <w:rPr>
                <w:rFonts w:ascii="Calibri" w:eastAsia="Calibri" w:hAnsi="Calibri" w:cs="Calibri"/>
                <w:sz w:val="24"/>
                <w:szCs w:val="24"/>
                <w:bdr w:val="none" w:sz="0" w:space="0" w:color="auto" w:frame="1"/>
                <w:lang w:val="es-ES"/>
              </w:rPr>
            </w:pPr>
          </w:p>
        </w:tc>
      </w:tr>
    </w:tbl>
    <w:p w:rsidR="00110E1E" w:rsidRPr="00635203" w:rsidRDefault="00110E1E" w:rsidP="00635203">
      <w:pPr>
        <w:spacing w:line="240" w:lineRule="auto"/>
        <w:rPr>
          <w:lang w:val="es-ES"/>
        </w:rPr>
      </w:pPr>
      <w:r w:rsidRPr="00635203">
        <w:rPr>
          <w:lang w:val="es-ES"/>
        </w:rPr>
        <w:br w:type="page"/>
      </w:r>
    </w:p>
    <w:tbl>
      <w:tblPr>
        <w:tblStyle w:val="Tablaconcuadrcula"/>
        <w:tblW w:w="974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13"/>
      </w:tblGrid>
      <w:tr w:rsidR="00110E1E" w:rsidRPr="00635203" w:rsidTr="00546746">
        <w:tc>
          <w:tcPr>
            <w:tcW w:w="534" w:type="dxa"/>
          </w:tcPr>
          <w:p w:rsidR="00110E1E" w:rsidRPr="00635203" w:rsidRDefault="00546746" w:rsidP="00635203">
            <w:pPr>
              <w:pStyle w:val="Sinespaciado"/>
              <w:jc w:val="both"/>
              <w:rPr>
                <w:sz w:val="24"/>
                <w:szCs w:val="24"/>
                <w:bdr w:val="none" w:sz="0" w:space="0" w:color="auto" w:frame="1"/>
              </w:rPr>
            </w:pPr>
            <w:r w:rsidRPr="00635203">
              <w:rPr>
                <w:sz w:val="24"/>
                <w:szCs w:val="24"/>
                <w:bdr w:val="none" w:sz="0" w:space="0" w:color="auto" w:frame="1"/>
              </w:rPr>
              <w:lastRenderedPageBreak/>
              <w:t>38</w:t>
            </w:r>
          </w:p>
        </w:tc>
        <w:tc>
          <w:tcPr>
            <w:tcW w:w="9213" w:type="dxa"/>
          </w:tcPr>
          <w:p w:rsidR="00110E1E" w:rsidRPr="00635203" w:rsidRDefault="00110E1E" w:rsidP="00635203">
            <w:pPr>
              <w:pStyle w:val="Sinespaciado"/>
              <w:jc w:val="both"/>
              <w:rPr>
                <w:b/>
                <w:sz w:val="24"/>
                <w:szCs w:val="24"/>
                <w:bdr w:val="none" w:sz="0" w:space="0" w:color="auto" w:frame="1"/>
              </w:rPr>
            </w:pPr>
            <w:r w:rsidRPr="00635203">
              <w:rPr>
                <w:b/>
                <w:sz w:val="24"/>
                <w:szCs w:val="24"/>
                <w:bdr w:val="none" w:sz="0" w:space="0" w:color="auto" w:frame="1"/>
              </w:rPr>
              <w:t>7.-</w:t>
            </w:r>
            <w:r w:rsidR="009A4CD5">
              <w:rPr>
                <w:b/>
                <w:sz w:val="24"/>
                <w:szCs w:val="24"/>
                <w:bdr w:val="none" w:sz="0" w:space="0" w:color="auto" w:frame="1"/>
              </w:rPr>
              <w:t xml:space="preserve"> SUJETO JURÍDICO-POLÍ</w:t>
            </w:r>
            <w:r w:rsidRPr="00635203">
              <w:rPr>
                <w:b/>
                <w:sz w:val="24"/>
                <w:szCs w:val="24"/>
                <w:bdr w:val="none" w:sz="0" w:space="0" w:color="auto" w:frame="1"/>
              </w:rPr>
              <w:t>TICO</w:t>
            </w:r>
            <w:r w:rsidR="009A4CD5">
              <w:rPr>
                <w:b/>
                <w:sz w:val="24"/>
                <w:szCs w:val="24"/>
                <w:bdr w:val="none" w:sz="0" w:space="0" w:color="auto" w:frame="1"/>
              </w:rPr>
              <w:t>.</w:t>
            </w:r>
          </w:p>
        </w:tc>
      </w:tr>
      <w:tr w:rsidR="00110E1E" w:rsidRPr="00635203" w:rsidTr="00546746">
        <w:tc>
          <w:tcPr>
            <w:tcW w:w="534" w:type="dxa"/>
          </w:tcPr>
          <w:p w:rsidR="00110E1E" w:rsidRPr="00635203" w:rsidRDefault="00110E1E" w:rsidP="00635203">
            <w:pPr>
              <w:pStyle w:val="Sinespaciado"/>
              <w:jc w:val="both"/>
              <w:rPr>
                <w:b/>
                <w:sz w:val="24"/>
                <w:szCs w:val="24"/>
                <w:bdr w:val="none" w:sz="0" w:space="0" w:color="auto" w:frame="1"/>
              </w:rPr>
            </w:pPr>
          </w:p>
        </w:tc>
        <w:tc>
          <w:tcPr>
            <w:tcW w:w="9213" w:type="dxa"/>
          </w:tcPr>
          <w:p w:rsidR="00110E1E" w:rsidRPr="00635203" w:rsidRDefault="00110E1E" w:rsidP="00635203">
            <w:pPr>
              <w:pStyle w:val="Sinespaciado"/>
              <w:jc w:val="both"/>
              <w:rPr>
                <w:b/>
                <w:sz w:val="24"/>
                <w:szCs w:val="24"/>
                <w:bdr w:val="none" w:sz="0" w:space="0" w:color="auto" w:frame="1"/>
              </w:rPr>
            </w:pPr>
          </w:p>
        </w:tc>
      </w:tr>
      <w:tr w:rsidR="00110E1E" w:rsidRPr="00635203" w:rsidTr="00546746">
        <w:tc>
          <w:tcPr>
            <w:tcW w:w="534" w:type="dxa"/>
          </w:tcPr>
          <w:p w:rsidR="00110E1E" w:rsidRPr="00635203" w:rsidRDefault="00546746" w:rsidP="00635203">
            <w:pPr>
              <w:pStyle w:val="Sinespaciado"/>
              <w:jc w:val="both"/>
              <w:rPr>
                <w:sz w:val="24"/>
                <w:szCs w:val="24"/>
                <w:bdr w:val="none" w:sz="0" w:space="0" w:color="auto" w:frame="1"/>
              </w:rPr>
            </w:pPr>
            <w:r w:rsidRPr="00635203">
              <w:rPr>
                <w:sz w:val="24"/>
                <w:szCs w:val="24"/>
                <w:bdr w:val="none" w:sz="0" w:space="0" w:color="auto" w:frame="1"/>
              </w:rPr>
              <w:t>39</w:t>
            </w:r>
          </w:p>
        </w:tc>
        <w:tc>
          <w:tcPr>
            <w:tcW w:w="9213" w:type="dxa"/>
          </w:tcPr>
          <w:p w:rsidR="00110E1E" w:rsidRPr="00635203" w:rsidRDefault="00110E1E" w:rsidP="00635203">
            <w:pPr>
              <w:pStyle w:val="Sinespaciado"/>
              <w:jc w:val="both"/>
              <w:rPr>
                <w:sz w:val="24"/>
                <w:szCs w:val="24"/>
                <w:bdr w:val="none" w:sz="0" w:space="0" w:color="auto" w:frame="1"/>
              </w:rPr>
            </w:pPr>
            <w:r w:rsidRPr="00635203">
              <w:rPr>
                <w:sz w:val="24"/>
                <w:szCs w:val="24"/>
                <w:bdr w:val="none" w:sz="0" w:space="0" w:color="auto" w:frame="1"/>
              </w:rPr>
              <w:t xml:space="preserve">Araba, </w:t>
            </w:r>
            <w:proofErr w:type="spellStart"/>
            <w:r w:rsidRPr="00635203">
              <w:rPr>
                <w:sz w:val="24"/>
                <w:szCs w:val="24"/>
                <w:bdr w:val="none" w:sz="0" w:space="0" w:color="auto" w:frame="1"/>
              </w:rPr>
              <w:t>Bizkaia</w:t>
            </w:r>
            <w:proofErr w:type="spellEnd"/>
            <w:r w:rsidRPr="00635203">
              <w:rPr>
                <w:sz w:val="24"/>
                <w:szCs w:val="24"/>
                <w:bdr w:val="none" w:sz="0" w:space="0" w:color="auto" w:frame="1"/>
              </w:rPr>
              <w:t xml:space="preserve"> y Gipuzkoa, como parte integrante del Pueblo Vasco, en desarrollo y actualización de los Derechos Históricos y fundamentándose en la libre y democrática decisión de las ciudadanas y ciudadanos se articula y constituye en:</w:t>
            </w: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p>
        </w:tc>
      </w:tr>
      <w:tr w:rsidR="00110E1E" w:rsidRPr="00635203" w:rsidTr="00546746">
        <w:tc>
          <w:tcPr>
            <w:tcW w:w="534" w:type="dxa"/>
          </w:tcPr>
          <w:p w:rsidR="00110E1E" w:rsidRPr="00635203" w:rsidRDefault="00546746" w:rsidP="00635203">
            <w:pPr>
              <w:pStyle w:val="Sinespaciado"/>
              <w:jc w:val="center"/>
              <w:rPr>
                <w:sz w:val="24"/>
                <w:szCs w:val="24"/>
                <w:bdr w:val="none" w:sz="0" w:space="0" w:color="auto" w:frame="1"/>
              </w:rPr>
            </w:pPr>
            <w:r w:rsidRPr="00635203">
              <w:rPr>
                <w:sz w:val="24"/>
                <w:szCs w:val="24"/>
                <w:bdr w:val="none" w:sz="0" w:space="0" w:color="auto" w:frame="1"/>
              </w:rPr>
              <w:t>40</w:t>
            </w:r>
          </w:p>
        </w:tc>
        <w:tc>
          <w:tcPr>
            <w:tcW w:w="9213" w:type="dxa"/>
          </w:tcPr>
          <w:p w:rsidR="00110E1E" w:rsidRPr="00635203" w:rsidRDefault="009A4CD5" w:rsidP="00635203">
            <w:pPr>
              <w:pStyle w:val="Sinespaciado"/>
              <w:jc w:val="center"/>
              <w:rPr>
                <w:sz w:val="24"/>
                <w:szCs w:val="24"/>
                <w:bdr w:val="none" w:sz="0" w:space="0" w:color="auto" w:frame="1"/>
              </w:rPr>
            </w:pPr>
            <w:r>
              <w:rPr>
                <w:sz w:val="24"/>
                <w:szCs w:val="24"/>
                <w:bdr w:val="none" w:sz="0" w:space="0" w:color="auto" w:frame="1"/>
              </w:rPr>
              <w:t>Sujeto Jurídico-</w:t>
            </w:r>
            <w:r w:rsidR="00110E1E" w:rsidRPr="00635203">
              <w:rPr>
                <w:sz w:val="24"/>
                <w:szCs w:val="24"/>
                <w:bdr w:val="none" w:sz="0" w:space="0" w:color="auto" w:frame="1"/>
              </w:rPr>
              <w:t>Político Institucional: Propuestas</w:t>
            </w: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r w:rsidRPr="00635203">
              <w:rPr>
                <w:sz w:val="24"/>
                <w:szCs w:val="24"/>
                <w:bdr w:val="none" w:sz="0" w:space="0" w:color="auto" w:frame="1"/>
              </w:rPr>
              <w:t>-Comunidad Estatal Vasca</w:t>
            </w: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r w:rsidRPr="00635203">
              <w:rPr>
                <w:sz w:val="24"/>
                <w:szCs w:val="24"/>
                <w:bdr w:val="none" w:sz="0" w:space="0" w:color="auto" w:frame="1"/>
              </w:rPr>
              <w:t>-</w:t>
            </w:r>
            <w:r w:rsidR="00677EA8">
              <w:rPr>
                <w:sz w:val="24"/>
                <w:szCs w:val="24"/>
                <w:bdr w:val="none" w:sz="0" w:space="0" w:color="auto" w:frame="1"/>
              </w:rPr>
              <w:t xml:space="preserve">Comunidad de carácter nacional </w:t>
            </w: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Default="00110E1E" w:rsidP="00635203">
            <w:pPr>
              <w:pStyle w:val="Sinespaciado"/>
              <w:jc w:val="both"/>
              <w:rPr>
                <w:sz w:val="18"/>
                <w:szCs w:val="18"/>
                <w:bdr w:val="none" w:sz="0" w:space="0" w:color="auto" w:frame="1"/>
              </w:rPr>
            </w:pPr>
          </w:p>
          <w:p w:rsidR="006B53D3" w:rsidRPr="00677EA8" w:rsidRDefault="00677EA8" w:rsidP="00635203">
            <w:pPr>
              <w:pStyle w:val="Sinespaciado"/>
              <w:jc w:val="both"/>
              <w:rPr>
                <w:sz w:val="24"/>
                <w:szCs w:val="18"/>
                <w:bdr w:val="none" w:sz="0" w:space="0" w:color="auto" w:frame="1"/>
              </w:rPr>
            </w:pPr>
            <w:r>
              <w:rPr>
                <w:sz w:val="18"/>
                <w:szCs w:val="18"/>
                <w:bdr w:val="none" w:sz="0" w:space="0" w:color="auto" w:frame="1"/>
              </w:rPr>
              <w:t>-</w:t>
            </w:r>
            <w:r>
              <w:rPr>
                <w:sz w:val="24"/>
                <w:szCs w:val="18"/>
                <w:bdr w:val="none" w:sz="0" w:space="0" w:color="auto" w:frame="1"/>
              </w:rPr>
              <w:t xml:space="preserve">Euskadi como: </w:t>
            </w: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r w:rsidRPr="00635203">
              <w:rPr>
                <w:sz w:val="24"/>
                <w:szCs w:val="24"/>
                <w:bdr w:val="none" w:sz="0" w:space="0" w:color="auto" w:frame="1"/>
              </w:rPr>
              <w:t xml:space="preserve">-Comunidad Foral Vasca (remite a los Derechos Históricos y a la </w:t>
            </w:r>
            <w:proofErr w:type="spellStart"/>
            <w:r w:rsidRPr="00635203">
              <w:rPr>
                <w:sz w:val="24"/>
                <w:szCs w:val="24"/>
                <w:bdr w:val="none" w:sz="0" w:space="0" w:color="auto" w:frame="1"/>
              </w:rPr>
              <w:t>foralidad</w:t>
            </w:r>
            <w:proofErr w:type="spellEnd"/>
            <w:r w:rsidRPr="00635203">
              <w:rPr>
                <w:sz w:val="24"/>
                <w:szCs w:val="24"/>
                <w:bdr w:val="none" w:sz="0" w:space="0" w:color="auto" w:frame="1"/>
              </w:rPr>
              <w:t xml:space="preserve"> que inspiran la propuesta)</w:t>
            </w: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r w:rsidRPr="00635203">
              <w:rPr>
                <w:sz w:val="24"/>
                <w:szCs w:val="24"/>
                <w:bdr w:val="none" w:sz="0" w:space="0" w:color="auto" w:frame="1"/>
              </w:rPr>
              <w:t>-Comunidad Nacional Vasca (pone en relieve la identidad nacional del Pueblo Vasco)</w:t>
            </w: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r w:rsidRPr="00635203">
              <w:rPr>
                <w:sz w:val="24"/>
                <w:szCs w:val="24"/>
                <w:bdr w:val="none" w:sz="0" w:space="0" w:color="auto" w:frame="1"/>
              </w:rPr>
              <w:t>-Estado Autónomo Vasco (definición utilizada en el proyecto de Estatuto de 1931, nos remite el concepto estatal propio de modelos federales o confederales que han sido propuestos por distintos partidos)</w:t>
            </w: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p>
        </w:tc>
      </w:tr>
      <w:tr w:rsidR="00110E1E" w:rsidRPr="00635203" w:rsidTr="00546746">
        <w:tc>
          <w:tcPr>
            <w:tcW w:w="534" w:type="dxa"/>
          </w:tcPr>
          <w:p w:rsidR="00110E1E" w:rsidRPr="00635203" w:rsidRDefault="00110E1E" w:rsidP="00635203">
            <w:pPr>
              <w:pStyle w:val="Sinespaciado"/>
              <w:jc w:val="both"/>
              <w:rPr>
                <w:sz w:val="24"/>
                <w:szCs w:val="24"/>
                <w:bdr w:val="none" w:sz="0" w:space="0" w:color="auto" w:frame="1"/>
              </w:rPr>
            </w:pPr>
          </w:p>
        </w:tc>
        <w:tc>
          <w:tcPr>
            <w:tcW w:w="9213" w:type="dxa"/>
          </w:tcPr>
          <w:p w:rsidR="00110E1E" w:rsidRPr="00635203" w:rsidRDefault="00110E1E" w:rsidP="00635203">
            <w:pPr>
              <w:pStyle w:val="Sinespaciado"/>
              <w:jc w:val="both"/>
              <w:rPr>
                <w:sz w:val="24"/>
                <w:szCs w:val="24"/>
                <w:bdr w:val="none" w:sz="0" w:space="0" w:color="auto" w:frame="1"/>
              </w:rPr>
            </w:pPr>
            <w:r w:rsidRPr="00635203">
              <w:rPr>
                <w:sz w:val="24"/>
                <w:szCs w:val="24"/>
                <w:bdr w:val="none" w:sz="0" w:space="0" w:color="auto" w:frame="1"/>
              </w:rPr>
              <w:t>-Estado Foral Vasco (aúna el concepto estatal con nuestra singularidad foral histórica que ahora quiere actualizarse)</w:t>
            </w:r>
            <w:r w:rsidR="00B73A6E">
              <w:rPr>
                <w:sz w:val="24"/>
                <w:szCs w:val="24"/>
                <w:bdr w:val="none" w:sz="0" w:space="0" w:color="auto" w:frame="1"/>
              </w:rPr>
              <w:t>.</w:t>
            </w:r>
          </w:p>
        </w:tc>
      </w:tr>
      <w:tr w:rsidR="00110E1E" w:rsidRPr="00635203" w:rsidTr="00546746">
        <w:tc>
          <w:tcPr>
            <w:tcW w:w="534" w:type="dxa"/>
          </w:tcPr>
          <w:p w:rsidR="00110E1E" w:rsidRPr="00635203" w:rsidRDefault="00110E1E" w:rsidP="00635203">
            <w:pPr>
              <w:rPr>
                <w:rFonts w:ascii="Calibri" w:eastAsia="Calibri" w:hAnsi="Calibri" w:cs="Times New Roman"/>
                <w:b/>
                <w:sz w:val="24"/>
                <w:szCs w:val="24"/>
                <w:bdr w:val="none" w:sz="0" w:space="0" w:color="auto" w:frame="1"/>
                <w:lang w:val="es-ES"/>
              </w:rPr>
            </w:pPr>
          </w:p>
        </w:tc>
        <w:tc>
          <w:tcPr>
            <w:tcW w:w="9213" w:type="dxa"/>
          </w:tcPr>
          <w:p w:rsidR="00110E1E" w:rsidRPr="00635203" w:rsidRDefault="00110E1E" w:rsidP="00635203">
            <w:pPr>
              <w:rPr>
                <w:rFonts w:ascii="Calibri" w:eastAsia="Calibri" w:hAnsi="Calibri" w:cs="Times New Roman"/>
                <w:b/>
                <w:sz w:val="24"/>
                <w:szCs w:val="24"/>
                <w:bdr w:val="none" w:sz="0" w:space="0" w:color="auto" w:frame="1"/>
                <w:lang w:val="es-ES"/>
              </w:rPr>
            </w:pPr>
          </w:p>
        </w:tc>
      </w:tr>
    </w:tbl>
    <w:p w:rsidR="00110E1E" w:rsidRPr="00635203" w:rsidRDefault="00110E1E" w:rsidP="00635203">
      <w:pPr>
        <w:spacing w:line="240" w:lineRule="auto"/>
        <w:jc w:val="right"/>
        <w:rPr>
          <w:lang w:val="es-ES"/>
        </w:rPr>
      </w:pPr>
      <w:r w:rsidRPr="00635203">
        <w:rPr>
          <w:lang w:val="es-ES"/>
        </w:rPr>
        <w:br w:type="page"/>
      </w:r>
    </w:p>
    <w:tbl>
      <w:tblPr>
        <w:tblStyle w:val="Tablaconcuadrcula"/>
        <w:tblW w:w="974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13"/>
      </w:tblGrid>
      <w:tr w:rsidR="00110E1E" w:rsidRPr="00635203" w:rsidTr="00546746">
        <w:tc>
          <w:tcPr>
            <w:tcW w:w="534" w:type="dxa"/>
          </w:tcPr>
          <w:p w:rsidR="00110E1E" w:rsidRPr="00635203" w:rsidRDefault="00546746" w:rsidP="00635203">
            <w:pPr>
              <w:pStyle w:val="Sinespaciado"/>
              <w:jc w:val="both"/>
              <w:rPr>
                <w:sz w:val="24"/>
                <w:szCs w:val="24"/>
                <w:bdr w:val="none" w:sz="0" w:space="0" w:color="auto" w:frame="1"/>
              </w:rPr>
            </w:pPr>
            <w:r w:rsidRPr="00635203">
              <w:rPr>
                <w:sz w:val="24"/>
                <w:szCs w:val="24"/>
                <w:bdr w:val="none" w:sz="0" w:space="0" w:color="auto" w:frame="1"/>
              </w:rPr>
              <w:lastRenderedPageBreak/>
              <w:t>41</w:t>
            </w:r>
          </w:p>
        </w:tc>
        <w:tc>
          <w:tcPr>
            <w:tcW w:w="9213" w:type="dxa"/>
          </w:tcPr>
          <w:p w:rsidR="00110E1E" w:rsidRPr="00635203" w:rsidRDefault="00553F28" w:rsidP="00635203">
            <w:pPr>
              <w:pStyle w:val="Sinespaciado"/>
              <w:jc w:val="both"/>
              <w:rPr>
                <w:b/>
                <w:sz w:val="24"/>
                <w:szCs w:val="24"/>
                <w:bdr w:val="none" w:sz="0" w:space="0" w:color="auto" w:frame="1"/>
              </w:rPr>
            </w:pPr>
            <w:r>
              <w:rPr>
                <w:b/>
                <w:sz w:val="24"/>
                <w:szCs w:val="24"/>
                <w:bdr w:val="none" w:sz="0" w:space="0" w:color="auto" w:frame="1"/>
              </w:rPr>
              <w:t xml:space="preserve">8.- </w:t>
            </w:r>
            <w:r w:rsidR="00110E1E" w:rsidRPr="00635203">
              <w:rPr>
                <w:b/>
                <w:sz w:val="24"/>
                <w:szCs w:val="24"/>
                <w:bdr w:val="none" w:sz="0" w:space="0" w:color="auto" w:frame="1"/>
              </w:rPr>
              <w:t>VÍNCULO CON EL ESTADO ESPAÑOL</w:t>
            </w:r>
            <w:r>
              <w:rPr>
                <w:b/>
                <w:sz w:val="24"/>
                <w:szCs w:val="24"/>
                <w:bdr w:val="none" w:sz="0" w:space="0" w:color="auto" w:frame="1"/>
              </w:rPr>
              <w:t>.</w:t>
            </w:r>
          </w:p>
        </w:tc>
      </w:tr>
      <w:tr w:rsidR="00110E1E" w:rsidRPr="00635203" w:rsidTr="00546746">
        <w:tc>
          <w:tcPr>
            <w:tcW w:w="534" w:type="dxa"/>
          </w:tcPr>
          <w:p w:rsidR="00110E1E" w:rsidRPr="00635203" w:rsidRDefault="00110E1E" w:rsidP="00635203">
            <w:pPr>
              <w:pStyle w:val="Sinespaciado"/>
              <w:jc w:val="both"/>
              <w:rPr>
                <w:b/>
                <w:sz w:val="24"/>
                <w:szCs w:val="24"/>
                <w:bdr w:val="none" w:sz="0" w:space="0" w:color="auto" w:frame="1"/>
              </w:rPr>
            </w:pPr>
          </w:p>
        </w:tc>
        <w:tc>
          <w:tcPr>
            <w:tcW w:w="9213" w:type="dxa"/>
          </w:tcPr>
          <w:p w:rsidR="00110E1E" w:rsidRPr="00635203" w:rsidRDefault="00110E1E" w:rsidP="00635203">
            <w:pPr>
              <w:pStyle w:val="Sinespaciado"/>
              <w:jc w:val="both"/>
              <w:rPr>
                <w:b/>
                <w:sz w:val="24"/>
                <w:szCs w:val="24"/>
                <w:bdr w:val="none" w:sz="0" w:space="0" w:color="auto" w:frame="1"/>
              </w:rPr>
            </w:pPr>
          </w:p>
        </w:tc>
      </w:tr>
      <w:tr w:rsidR="00110E1E" w:rsidRPr="00635203" w:rsidTr="00546746">
        <w:tc>
          <w:tcPr>
            <w:tcW w:w="534" w:type="dxa"/>
          </w:tcPr>
          <w:p w:rsidR="00110E1E" w:rsidRPr="00635203" w:rsidRDefault="00546746" w:rsidP="00635203">
            <w:pPr>
              <w:jc w:val="both"/>
              <w:rPr>
                <w:sz w:val="24"/>
                <w:szCs w:val="24"/>
                <w:lang w:val="es-ES"/>
              </w:rPr>
            </w:pPr>
            <w:r w:rsidRPr="00635203">
              <w:rPr>
                <w:sz w:val="24"/>
                <w:szCs w:val="24"/>
                <w:lang w:val="es-ES"/>
              </w:rPr>
              <w:t>42</w:t>
            </w:r>
          </w:p>
        </w:tc>
        <w:tc>
          <w:tcPr>
            <w:tcW w:w="9213" w:type="dxa"/>
          </w:tcPr>
          <w:p w:rsidR="00553F28" w:rsidRDefault="00110E1E" w:rsidP="00635203">
            <w:pPr>
              <w:jc w:val="both"/>
              <w:rPr>
                <w:sz w:val="24"/>
                <w:szCs w:val="24"/>
                <w:lang w:val="es-ES"/>
              </w:rPr>
            </w:pPr>
            <w:r w:rsidRPr="00635203">
              <w:rPr>
                <w:sz w:val="24"/>
                <w:szCs w:val="24"/>
                <w:lang w:val="es-ES"/>
              </w:rPr>
              <w:t>Se configurará un nuevo modelo de relación con el Estado, bilateral, de igual a igual, de respeto y reconocimiento mutuo, de naturaleza confederal.</w:t>
            </w:r>
          </w:p>
          <w:p w:rsidR="00110E1E" w:rsidRPr="00635203" w:rsidRDefault="00110E1E" w:rsidP="00635203">
            <w:pPr>
              <w:jc w:val="both"/>
              <w:rPr>
                <w:sz w:val="24"/>
                <w:szCs w:val="24"/>
                <w:lang w:val="es-ES"/>
              </w:rPr>
            </w:pPr>
            <w:r w:rsidRPr="00635203">
              <w:rPr>
                <w:sz w:val="24"/>
                <w:szCs w:val="24"/>
                <w:lang w:val="es-ES"/>
              </w:rPr>
              <w:t xml:space="preserve"> </w:t>
            </w:r>
          </w:p>
        </w:tc>
      </w:tr>
      <w:tr w:rsidR="00110E1E" w:rsidRPr="00635203" w:rsidTr="00546746">
        <w:tc>
          <w:tcPr>
            <w:tcW w:w="534" w:type="dxa"/>
          </w:tcPr>
          <w:p w:rsidR="00110E1E" w:rsidRPr="00635203" w:rsidRDefault="00546746" w:rsidP="00635203">
            <w:pPr>
              <w:jc w:val="both"/>
              <w:rPr>
                <w:sz w:val="24"/>
                <w:szCs w:val="24"/>
                <w:lang w:val="es-ES"/>
              </w:rPr>
            </w:pPr>
            <w:r w:rsidRPr="00635203">
              <w:rPr>
                <w:sz w:val="24"/>
                <w:szCs w:val="24"/>
                <w:lang w:val="es-ES"/>
              </w:rPr>
              <w:t>43</w:t>
            </w:r>
          </w:p>
        </w:tc>
        <w:tc>
          <w:tcPr>
            <w:tcW w:w="9213" w:type="dxa"/>
          </w:tcPr>
          <w:p w:rsidR="00110E1E" w:rsidRDefault="00110E1E" w:rsidP="00635203">
            <w:pPr>
              <w:jc w:val="both"/>
              <w:rPr>
                <w:sz w:val="24"/>
                <w:szCs w:val="24"/>
                <w:lang w:val="es-ES"/>
              </w:rPr>
            </w:pPr>
            <w:r w:rsidRPr="00635203">
              <w:rPr>
                <w:sz w:val="24"/>
                <w:szCs w:val="24"/>
                <w:lang w:val="es-ES"/>
              </w:rPr>
              <w:t xml:space="preserve">El nuevo marco político de relación con el Estado español se estructurará al amparo de la Disposición Adicional 1ª CE y la Adicional Única del Estatuto de </w:t>
            </w:r>
            <w:proofErr w:type="spellStart"/>
            <w:r w:rsidRPr="00635203">
              <w:rPr>
                <w:sz w:val="24"/>
                <w:szCs w:val="24"/>
                <w:lang w:val="es-ES"/>
              </w:rPr>
              <w:t>Gernika</w:t>
            </w:r>
            <w:proofErr w:type="spellEnd"/>
            <w:r w:rsidRPr="00635203">
              <w:rPr>
                <w:sz w:val="24"/>
                <w:szCs w:val="24"/>
                <w:lang w:val="es-ES"/>
              </w:rPr>
              <w:t xml:space="preserve"> estableciendo un nuevo modelo relacional singular y bilateral que estará fundamentado en el reconocimiento de ambas partes como sujetos políticos. </w:t>
            </w:r>
          </w:p>
          <w:p w:rsidR="00553F28" w:rsidRPr="00635203" w:rsidRDefault="00553F28" w:rsidP="00635203">
            <w:pPr>
              <w:jc w:val="both"/>
              <w:rPr>
                <w:sz w:val="24"/>
                <w:szCs w:val="24"/>
                <w:lang w:val="es-ES"/>
              </w:rPr>
            </w:pPr>
          </w:p>
        </w:tc>
      </w:tr>
      <w:tr w:rsidR="00110E1E" w:rsidRPr="00635203" w:rsidTr="00546746">
        <w:tc>
          <w:tcPr>
            <w:tcW w:w="534" w:type="dxa"/>
          </w:tcPr>
          <w:p w:rsidR="00110E1E" w:rsidRPr="00635203" w:rsidRDefault="00546746" w:rsidP="00635203">
            <w:pPr>
              <w:jc w:val="both"/>
              <w:rPr>
                <w:sz w:val="24"/>
                <w:szCs w:val="24"/>
                <w:lang w:val="es-ES"/>
              </w:rPr>
            </w:pPr>
            <w:r w:rsidRPr="00635203">
              <w:rPr>
                <w:sz w:val="24"/>
                <w:szCs w:val="24"/>
                <w:lang w:val="es-ES"/>
              </w:rPr>
              <w:t>44</w:t>
            </w:r>
          </w:p>
        </w:tc>
        <w:tc>
          <w:tcPr>
            <w:tcW w:w="9213" w:type="dxa"/>
          </w:tcPr>
          <w:p w:rsidR="00110E1E" w:rsidRPr="00635203" w:rsidRDefault="00110E1E" w:rsidP="00635203">
            <w:pPr>
              <w:jc w:val="both"/>
              <w:rPr>
                <w:sz w:val="24"/>
                <w:szCs w:val="24"/>
                <w:lang w:val="es-ES"/>
              </w:rPr>
            </w:pPr>
            <w:r w:rsidRPr="00635203">
              <w:rPr>
                <w:sz w:val="24"/>
                <w:szCs w:val="24"/>
                <w:lang w:val="es-ES"/>
              </w:rPr>
              <w:t>La relación será de respeto mutuo y de no subordinación y a tal efecto se anudará un sistema de relación bilateral efectiva e incorporará un régimen eficaz</w:t>
            </w:r>
            <w:r w:rsidR="00553F28">
              <w:rPr>
                <w:sz w:val="24"/>
                <w:szCs w:val="24"/>
                <w:lang w:val="es-ES"/>
              </w:rPr>
              <w:t xml:space="preserve"> de garantías que blindará el A</w:t>
            </w:r>
            <w:r w:rsidRPr="00635203">
              <w:rPr>
                <w:sz w:val="24"/>
                <w:szCs w:val="24"/>
                <w:lang w:val="es-ES"/>
              </w:rPr>
              <w:t>utogobierno vasco.</w:t>
            </w:r>
          </w:p>
        </w:tc>
      </w:tr>
    </w:tbl>
    <w:p w:rsidR="0009152A" w:rsidRPr="00635203" w:rsidRDefault="0009152A" w:rsidP="00635203">
      <w:pPr>
        <w:spacing w:line="240" w:lineRule="auto"/>
        <w:rPr>
          <w:lang w:val="es-ES"/>
        </w:rPr>
      </w:pPr>
    </w:p>
    <w:p w:rsidR="00546746" w:rsidRPr="00635203" w:rsidRDefault="00546746" w:rsidP="00635203">
      <w:pPr>
        <w:spacing w:line="240" w:lineRule="auto"/>
        <w:rPr>
          <w:lang w:val="es-ES"/>
        </w:rPr>
      </w:pPr>
    </w:p>
    <w:p w:rsidR="00546746" w:rsidRPr="00635203" w:rsidRDefault="0011094B" w:rsidP="00635203">
      <w:pPr>
        <w:spacing w:line="240" w:lineRule="auto"/>
        <w:jc w:val="right"/>
        <w:rPr>
          <w:lang w:val="es-ES"/>
        </w:rPr>
      </w:pPr>
      <w:r>
        <w:rPr>
          <w:lang w:val="es-ES"/>
        </w:rPr>
        <w:t>Vitoria-Gasteiz, 23</w:t>
      </w:r>
      <w:bookmarkStart w:id="0" w:name="_GoBack"/>
      <w:bookmarkEnd w:id="0"/>
      <w:r w:rsidR="00546746" w:rsidRPr="00635203">
        <w:rPr>
          <w:lang w:val="es-ES"/>
        </w:rPr>
        <w:t xml:space="preserve"> de mayo de 2018.</w:t>
      </w:r>
    </w:p>
    <w:sectPr w:rsidR="00546746" w:rsidRPr="006352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26" w:rsidRDefault="005D3426" w:rsidP="005507FA">
      <w:pPr>
        <w:spacing w:after="0" w:line="240" w:lineRule="auto"/>
      </w:pPr>
      <w:r>
        <w:separator/>
      </w:r>
    </w:p>
  </w:endnote>
  <w:endnote w:type="continuationSeparator" w:id="0">
    <w:p w:rsidR="005D3426" w:rsidRDefault="005D3426" w:rsidP="0055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iz Quadrata St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687184667"/>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5507FA" w:rsidRDefault="005507FA">
            <w:pPr>
              <w:rPr>
                <w:rFonts w:asciiTheme="majorHAnsi" w:eastAsiaTheme="majorEastAsia" w:hAnsiTheme="majorHAnsi" w:cstheme="majorBidi"/>
              </w:rPr>
            </w:pPr>
            <w:r>
              <w:rPr>
                <w:rFonts w:asciiTheme="majorHAnsi" w:eastAsiaTheme="majorEastAsia" w:hAnsiTheme="majorHAnsi" w:cstheme="majorBidi"/>
                <w:noProof/>
                <w:lang w:val="es-ES" w:eastAsia="es-ES"/>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507FA" w:rsidRDefault="005507FA">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11094B" w:rsidRPr="0011094B">
                                    <w:rPr>
                                      <w:b/>
                                      <w:bCs/>
                                      <w:noProof/>
                                      <w:color w:val="FFFFFF" w:themeColor="background1"/>
                                      <w:sz w:val="32"/>
                                      <w:szCs w:val="32"/>
                                      <w:lang w:val="es-ES"/>
                                    </w:rPr>
                                    <w:t>8</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5507FA" w:rsidRDefault="005507FA">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11094B" w:rsidRPr="0011094B">
                              <w:rPr>
                                <w:b/>
                                <w:bCs/>
                                <w:noProof/>
                                <w:color w:val="FFFFFF" w:themeColor="background1"/>
                                <w:sz w:val="32"/>
                                <w:szCs w:val="32"/>
                                <w:lang w:val="es-ES"/>
                              </w:rPr>
                              <w:t>8</w:t>
                            </w:r>
                            <w:r>
                              <w:rPr>
                                <w:b/>
                                <w:bCs/>
                                <w:color w:val="FFFFFF" w:themeColor="background1"/>
                                <w:sz w:val="32"/>
                                <w:szCs w:val="32"/>
                              </w:rPr>
                              <w:fldChar w:fldCharType="end"/>
                            </w:r>
                          </w:p>
                        </w:txbxContent>
                      </v:textbox>
                      <w10:wrap anchorx="margin" anchory="margin"/>
                    </v:oval>
                  </w:pict>
                </mc:Fallback>
              </mc:AlternateContent>
            </w:r>
          </w:p>
        </w:sdtContent>
      </w:sdt>
    </w:sdtContent>
  </w:sdt>
  <w:p w:rsidR="005507FA" w:rsidRDefault="005507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26" w:rsidRDefault="005D3426" w:rsidP="005507FA">
      <w:pPr>
        <w:spacing w:after="0" w:line="240" w:lineRule="auto"/>
      </w:pPr>
      <w:r>
        <w:separator/>
      </w:r>
    </w:p>
  </w:footnote>
  <w:footnote w:type="continuationSeparator" w:id="0">
    <w:p w:rsidR="005D3426" w:rsidRDefault="005D3426" w:rsidP="00550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5223A"/>
    <w:multiLevelType w:val="hybridMultilevel"/>
    <w:tmpl w:val="F03A785A"/>
    <w:lvl w:ilvl="0" w:tplc="D3C2409C">
      <w:start w:val="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B1"/>
    <w:rsid w:val="00083B53"/>
    <w:rsid w:val="0009152A"/>
    <w:rsid w:val="0011094B"/>
    <w:rsid w:val="00110E1E"/>
    <w:rsid w:val="00231BF2"/>
    <w:rsid w:val="002D6C2B"/>
    <w:rsid w:val="00514A93"/>
    <w:rsid w:val="00546746"/>
    <w:rsid w:val="005507FA"/>
    <w:rsid w:val="00553F28"/>
    <w:rsid w:val="005D3426"/>
    <w:rsid w:val="00635203"/>
    <w:rsid w:val="00677EA8"/>
    <w:rsid w:val="006B53D3"/>
    <w:rsid w:val="00735881"/>
    <w:rsid w:val="00870F2D"/>
    <w:rsid w:val="00940983"/>
    <w:rsid w:val="009922F6"/>
    <w:rsid w:val="009A4CD5"/>
    <w:rsid w:val="00B65CCB"/>
    <w:rsid w:val="00B73A6E"/>
    <w:rsid w:val="00C576E0"/>
    <w:rsid w:val="00C81675"/>
    <w:rsid w:val="00C820A0"/>
    <w:rsid w:val="00CC0568"/>
    <w:rsid w:val="00D048AA"/>
    <w:rsid w:val="00DE2524"/>
    <w:rsid w:val="00E940BD"/>
    <w:rsid w:val="00EF64B1"/>
    <w:rsid w:val="00FD7EF1"/>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4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64B1"/>
    <w:pPr>
      <w:spacing w:after="0" w:line="240" w:lineRule="auto"/>
    </w:pPr>
    <w:rPr>
      <w:rFonts w:ascii="Calibri" w:eastAsia="Calibri" w:hAnsi="Calibri" w:cs="Times New Roman"/>
      <w:lang w:val="es-ES"/>
    </w:rPr>
  </w:style>
  <w:style w:type="paragraph" w:customStyle="1" w:styleId="Parrafonumerado">
    <w:name w:val="Parrafo numerado"/>
    <w:rsid w:val="00EF64B1"/>
    <w:pPr>
      <w:tabs>
        <w:tab w:val="left" w:pos="454"/>
      </w:tabs>
      <w:spacing w:before="240" w:after="240" w:line="300" w:lineRule="atLeast"/>
      <w:jc w:val="both"/>
    </w:pPr>
    <w:rPr>
      <w:rFonts w:ascii="Friz Quadrata Std" w:eastAsia="Friz Quadrata Std" w:hAnsi="Friz Quadrata Std" w:cs="Friz Quadrata Std"/>
      <w:color w:val="000000"/>
      <w:u w:color="000000"/>
      <w:lang w:val="es-ES_tradnl" w:eastAsia="es-ES"/>
    </w:rPr>
  </w:style>
  <w:style w:type="paragraph" w:styleId="Encabezado">
    <w:name w:val="header"/>
    <w:basedOn w:val="Normal"/>
    <w:link w:val="EncabezadoCar"/>
    <w:uiPriority w:val="99"/>
    <w:unhideWhenUsed/>
    <w:rsid w:val="005507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07FA"/>
  </w:style>
  <w:style w:type="paragraph" w:styleId="Piedepgina">
    <w:name w:val="footer"/>
    <w:basedOn w:val="Normal"/>
    <w:link w:val="PiedepginaCar"/>
    <w:uiPriority w:val="99"/>
    <w:unhideWhenUsed/>
    <w:rsid w:val="005507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07FA"/>
  </w:style>
  <w:style w:type="table" w:styleId="Tablaconcuadrcula">
    <w:name w:val="Table Grid"/>
    <w:basedOn w:val="Tablanormal"/>
    <w:uiPriority w:val="59"/>
    <w:rsid w:val="0011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52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4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64B1"/>
    <w:pPr>
      <w:spacing w:after="0" w:line="240" w:lineRule="auto"/>
    </w:pPr>
    <w:rPr>
      <w:rFonts w:ascii="Calibri" w:eastAsia="Calibri" w:hAnsi="Calibri" w:cs="Times New Roman"/>
      <w:lang w:val="es-ES"/>
    </w:rPr>
  </w:style>
  <w:style w:type="paragraph" w:customStyle="1" w:styleId="Parrafonumerado">
    <w:name w:val="Parrafo numerado"/>
    <w:rsid w:val="00EF64B1"/>
    <w:pPr>
      <w:tabs>
        <w:tab w:val="left" w:pos="454"/>
      </w:tabs>
      <w:spacing w:before="240" w:after="240" w:line="300" w:lineRule="atLeast"/>
      <w:jc w:val="both"/>
    </w:pPr>
    <w:rPr>
      <w:rFonts w:ascii="Friz Quadrata Std" w:eastAsia="Friz Quadrata Std" w:hAnsi="Friz Quadrata Std" w:cs="Friz Quadrata Std"/>
      <w:color w:val="000000"/>
      <w:u w:color="000000"/>
      <w:lang w:val="es-ES_tradnl" w:eastAsia="es-ES"/>
    </w:rPr>
  </w:style>
  <w:style w:type="paragraph" w:styleId="Encabezado">
    <w:name w:val="header"/>
    <w:basedOn w:val="Normal"/>
    <w:link w:val="EncabezadoCar"/>
    <w:uiPriority w:val="99"/>
    <w:unhideWhenUsed/>
    <w:rsid w:val="005507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07FA"/>
  </w:style>
  <w:style w:type="paragraph" w:styleId="Piedepgina">
    <w:name w:val="footer"/>
    <w:basedOn w:val="Normal"/>
    <w:link w:val="PiedepginaCar"/>
    <w:uiPriority w:val="99"/>
    <w:unhideWhenUsed/>
    <w:rsid w:val="005507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07FA"/>
  </w:style>
  <w:style w:type="table" w:styleId="Tablaconcuadrcula">
    <w:name w:val="Table Grid"/>
    <w:basedOn w:val="Tablanormal"/>
    <w:uiPriority w:val="59"/>
    <w:rsid w:val="0011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52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4E9D4-6983-436F-BBF2-3297062E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1957</Words>
  <Characters>10766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Piñol Olaeta, Elixabete</dc:creator>
  <cp:lastModifiedBy>legebiltzarra</cp:lastModifiedBy>
  <cp:revision>12</cp:revision>
  <cp:lastPrinted>2018-05-23T09:19:00Z</cp:lastPrinted>
  <dcterms:created xsi:type="dcterms:W3CDTF">2018-05-22T08:19:00Z</dcterms:created>
  <dcterms:modified xsi:type="dcterms:W3CDTF">2018-05-23T09:28:00Z</dcterms:modified>
</cp:coreProperties>
</file>